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758" w:rsidRPr="00A32F29" w:rsidRDefault="00DD0758" w:rsidP="003E7AD4">
      <w:pPr>
        <w:spacing w:line="240" w:lineRule="auto"/>
        <w:rPr>
          <w:b/>
          <w:bCs/>
          <w:iCs/>
        </w:rPr>
      </w:pPr>
      <w:proofErr w:type="spellStart"/>
      <w:r w:rsidRPr="00A32F29">
        <w:rPr>
          <w:b/>
          <w:bCs/>
          <w:iCs/>
        </w:rPr>
        <w:t>Eliminación</w:t>
      </w:r>
      <w:proofErr w:type="spellEnd"/>
      <w:r w:rsidRPr="00A32F29">
        <w:rPr>
          <w:b/>
          <w:bCs/>
          <w:iCs/>
        </w:rPr>
        <w:t xml:space="preserve"> de </w:t>
      </w:r>
      <w:proofErr w:type="spellStart"/>
      <w:r w:rsidRPr="00A32F29">
        <w:rPr>
          <w:b/>
          <w:bCs/>
          <w:iCs/>
        </w:rPr>
        <w:t>antecedentes</w:t>
      </w:r>
      <w:proofErr w:type="spellEnd"/>
      <w:r w:rsidRPr="00A32F29">
        <w:rPr>
          <w:b/>
          <w:bCs/>
          <w:iCs/>
        </w:rPr>
        <w:t xml:space="preserve"> </w:t>
      </w:r>
      <w:proofErr w:type="spellStart"/>
      <w:r w:rsidRPr="00A32F29">
        <w:rPr>
          <w:b/>
          <w:bCs/>
          <w:iCs/>
        </w:rPr>
        <w:t>penales</w:t>
      </w:r>
      <w:proofErr w:type="spellEnd"/>
    </w:p>
    <w:p w:rsidR="00DD0758" w:rsidRPr="00A32F29" w:rsidRDefault="00DD0758" w:rsidP="003E7AD4">
      <w:pPr>
        <w:rPr>
          <w:lang w:val="es-419"/>
        </w:rPr>
      </w:pPr>
      <w:r w:rsidRPr="00A32F29">
        <w:rPr>
          <w:bCs/>
          <w:lang w:val="es-419"/>
        </w:rPr>
        <w:t>La eliminación de antecedentes penales retira por completo todo expediente penal de la vista del público. La información suprimida no aparecerá en las verificaciones de antecedentes penales. Usted no tiene la obligación legal de informar a los empleadores sobre sus antecedentes penales eliminados</w:t>
      </w:r>
      <w:r w:rsidRPr="00A32F29">
        <w:rPr>
          <w:lang w:val="es-ES"/>
        </w:rPr>
        <w:t>, salvo en ciertas circunstancias no regidas por las leyes de Maryland.</w:t>
      </w:r>
      <w:r w:rsidRPr="00A32F29">
        <w:rPr>
          <w:bCs/>
          <w:lang w:val="es-419"/>
        </w:rPr>
        <w:t xml:space="preserve"> Este folleto explica cómo eliminar los antecedentes penales de adultos sobre su persona únicamente de los expedientes de los tribunales estatales de Maryland.</w:t>
      </w:r>
    </w:p>
    <w:p w:rsidR="00DD0758" w:rsidRPr="00A32F29" w:rsidRDefault="00DD0758" w:rsidP="003E7AD4">
      <w:pPr>
        <w:spacing w:line="240" w:lineRule="auto"/>
        <w:rPr>
          <w:lang w:val="es-419"/>
        </w:rPr>
      </w:pPr>
      <w:r w:rsidRPr="00A32F29">
        <w:rPr>
          <w:b/>
          <w:bCs/>
          <w:lang w:val="es-419"/>
        </w:rPr>
        <w:t xml:space="preserve">¿Quién usa la eliminación de antecedentes? </w:t>
      </w:r>
    </w:p>
    <w:p w:rsidR="00DD0758" w:rsidRPr="00A32F29" w:rsidRDefault="00DD0758" w:rsidP="00384CB1">
      <w:pPr>
        <w:rPr>
          <w:lang w:val="es-419"/>
        </w:rPr>
      </w:pPr>
      <w:r w:rsidRPr="00A32F29">
        <w:rPr>
          <w:lang w:val="es-419"/>
        </w:rPr>
        <w:t>Los acusados en casos penales</w:t>
      </w:r>
      <w:r w:rsidRPr="00A32F29">
        <w:rPr>
          <w:b/>
          <w:bCs/>
          <w:i/>
          <w:iCs/>
          <w:lang w:val="es-419"/>
        </w:rPr>
        <w:t xml:space="preserve"> </w:t>
      </w:r>
      <w:r w:rsidRPr="00A32F29">
        <w:rPr>
          <w:lang w:val="es-419"/>
        </w:rPr>
        <w:t>estatales</w:t>
      </w:r>
      <w:r w:rsidRPr="00A32F29">
        <w:rPr>
          <w:lang w:val="es-ES"/>
        </w:rPr>
        <w:t xml:space="preserve"> o las personas que tienen antecedentes judiciales estatales de menores.</w:t>
      </w:r>
      <w:r w:rsidRPr="00A32F29">
        <w:rPr>
          <w:lang w:val="es-419"/>
        </w:rPr>
        <w:t xml:space="preserve"> </w:t>
      </w:r>
      <w:r w:rsidRPr="00A32F29">
        <w:rPr>
          <w:lang w:val="es-ES"/>
        </w:rPr>
        <w:t xml:space="preserve">Este folleto ofrece información únicamente sobre el procedimiento de eliminación de antecedentes penales de adultos. Si desea eliminar antecedentes judiciales de menores, consulte el folleto </w:t>
      </w:r>
      <w:r w:rsidRPr="00A32F29">
        <w:rPr>
          <w:i/>
          <w:lang w:val="es-ES"/>
        </w:rPr>
        <w:t>Eliminación de antecedentes judiciales de menores</w:t>
      </w:r>
      <w:r w:rsidRPr="00A32F29">
        <w:rPr>
          <w:lang w:val="es-ES"/>
        </w:rPr>
        <w:t xml:space="preserve"> ya que el procedimiento es distinto.</w:t>
      </w:r>
      <w:r w:rsidRPr="00A32F29">
        <w:rPr>
          <w:lang w:val="es-419"/>
        </w:rPr>
        <w:t xml:space="preserve"> Si usted es </w:t>
      </w:r>
      <w:r w:rsidRPr="00A32F29">
        <w:rPr>
          <w:lang w:val="es-ES"/>
        </w:rPr>
        <w:t xml:space="preserve">una de las partes </w:t>
      </w:r>
      <w:r w:rsidRPr="00A32F29">
        <w:rPr>
          <w:lang w:val="es-419"/>
        </w:rPr>
        <w:t>en un caso de orden de paz o de protección, su caso es civil</w:t>
      </w:r>
      <w:r w:rsidRPr="00A32F29">
        <w:rPr>
          <w:b/>
          <w:bCs/>
          <w:i/>
          <w:iCs/>
          <w:lang w:val="es-419"/>
        </w:rPr>
        <w:t xml:space="preserve"> </w:t>
      </w:r>
      <w:r w:rsidRPr="00A32F29">
        <w:rPr>
          <w:lang w:val="es-419"/>
        </w:rPr>
        <w:t xml:space="preserve">y no penal. Consulte el folleto: </w:t>
      </w:r>
      <w:r w:rsidRPr="00A32F29">
        <w:rPr>
          <w:i/>
          <w:iCs/>
          <w:lang w:val="es-419"/>
        </w:rPr>
        <w:t xml:space="preserve">“¿Puedo evitar que el público vea información sobre mi persona en un caso de orden de paz o de protección?” </w:t>
      </w:r>
      <w:r w:rsidRPr="00A32F29">
        <w:rPr>
          <w:lang w:val="es-419"/>
        </w:rPr>
        <w:t xml:space="preserve">Si el Estado entabló un caso penal en contra de usted por el mismo incidente, posiblemente tenga un caso civil y un caso penal. Si desea limitar el acceso público a su caso civil, o si es una víctima o testigo en un caso penal, consulte el folleto: </w:t>
      </w:r>
      <w:r w:rsidRPr="00A32F29">
        <w:rPr>
          <w:i/>
          <w:iCs/>
          <w:lang w:val="es-419"/>
        </w:rPr>
        <w:t>“¿Puedo evitar que el público vea información sobre mi persona en un caso judicial?”</w:t>
      </w:r>
    </w:p>
    <w:p w:rsidR="00DD0758" w:rsidRPr="00A32F29" w:rsidRDefault="00DD0758" w:rsidP="00384CB1">
      <w:pPr>
        <w:keepNext/>
        <w:keepLines/>
        <w:spacing w:line="240" w:lineRule="auto"/>
        <w:rPr>
          <w:lang w:val="es-419"/>
        </w:rPr>
      </w:pPr>
      <w:r w:rsidRPr="00A32F29">
        <w:rPr>
          <w:b/>
          <w:bCs/>
          <w:lang w:val="es-419"/>
        </w:rPr>
        <w:lastRenderedPageBreak/>
        <w:t xml:space="preserve">¿Cómo presento la eliminación de antecedentes penales? </w:t>
      </w:r>
    </w:p>
    <w:p w:rsidR="00DD0758" w:rsidRPr="00A32F29" w:rsidRDefault="00DD0758" w:rsidP="003E7AD4">
      <w:pPr>
        <w:rPr>
          <w:lang w:val="es-419"/>
        </w:rPr>
      </w:pPr>
      <w:r w:rsidRPr="00A32F29">
        <w:rPr>
          <w:lang w:val="es-419"/>
        </w:rPr>
        <w:t xml:space="preserve">Para suprimir antecedentes de los expedientes de los tribunales estatales de Maryland, puede presentar una “Solicitud para Eliminación de Antecedentes Penales” (formulario CC-DC/CR-72) y, de ser necesario, una “Exención General y Liberación” (formulario CC-DC/CR-78). Preséntela ante la Oficina del Secretario del tribunal que trató su caso, en persona o por correo. </w:t>
      </w:r>
    </w:p>
    <w:p w:rsidR="00DD0758" w:rsidRPr="00A32F29" w:rsidRDefault="00DD0758" w:rsidP="003E7AD4">
      <w:r w:rsidRPr="00A32F29">
        <w:rPr>
          <w:lang w:val="es-419"/>
        </w:rPr>
        <w:t xml:space="preserve">No hay forma de eliminar todos sus antecedentes penales de una sola vez. También es posible eliminar sus antecedentes penales de los expedientes de la Administración de Vehículos Motorizados y los expedientes policiales. </w:t>
      </w:r>
      <w:r w:rsidR="00A32F29">
        <w:rPr>
          <w:lang w:val="es-419"/>
        </w:rPr>
        <w:t xml:space="preserve"> </w:t>
      </w:r>
      <w:proofErr w:type="spellStart"/>
      <w:r w:rsidRPr="00A32F29">
        <w:t>Cada</w:t>
      </w:r>
      <w:proofErr w:type="spellEnd"/>
      <w:r w:rsidRPr="00A32F29">
        <w:t xml:space="preserve"> </w:t>
      </w:r>
      <w:proofErr w:type="spellStart"/>
      <w:r w:rsidRPr="00A32F29">
        <w:t>proceso</w:t>
      </w:r>
      <w:proofErr w:type="spellEnd"/>
      <w:r w:rsidRPr="00A32F29">
        <w:t xml:space="preserve"> </w:t>
      </w:r>
      <w:proofErr w:type="spellStart"/>
      <w:r w:rsidRPr="00A32F29">
        <w:t>suprime</w:t>
      </w:r>
      <w:proofErr w:type="spellEnd"/>
      <w:r w:rsidRPr="00A32F29">
        <w:t xml:space="preserve"> </w:t>
      </w:r>
      <w:r w:rsidRPr="00A32F29">
        <w:rPr>
          <w:lang w:val="es-ES"/>
        </w:rPr>
        <w:t>información muy específica</w:t>
      </w:r>
      <w:r w:rsidRPr="00A32F29">
        <w:t xml:space="preserve">. </w:t>
      </w:r>
      <w:proofErr w:type="spellStart"/>
      <w:r w:rsidRPr="00A32F29">
        <w:t>Comuníquese</w:t>
      </w:r>
      <w:proofErr w:type="spellEnd"/>
      <w:r w:rsidRPr="00A32F29">
        <w:t xml:space="preserve"> con </w:t>
      </w:r>
      <w:proofErr w:type="spellStart"/>
      <w:r w:rsidRPr="00A32F29">
        <w:t>cada</w:t>
      </w:r>
      <w:proofErr w:type="spellEnd"/>
      <w:r w:rsidRPr="00A32F29">
        <w:t xml:space="preserve"> </w:t>
      </w:r>
      <w:proofErr w:type="spellStart"/>
      <w:r w:rsidRPr="00A32F29">
        <w:t>agencia</w:t>
      </w:r>
      <w:proofErr w:type="spellEnd"/>
      <w:r w:rsidRPr="00A32F29">
        <w:t xml:space="preserve"> </w:t>
      </w:r>
      <w:proofErr w:type="spellStart"/>
      <w:r w:rsidRPr="00A32F29">
        <w:t>que</w:t>
      </w:r>
      <w:proofErr w:type="spellEnd"/>
      <w:r w:rsidRPr="00A32F29">
        <w:t xml:space="preserve"> </w:t>
      </w:r>
      <w:proofErr w:type="spellStart"/>
      <w:r w:rsidRPr="00A32F29">
        <w:t>tenga</w:t>
      </w:r>
      <w:proofErr w:type="spellEnd"/>
      <w:r w:rsidRPr="00A32F29">
        <w:t xml:space="preserve"> </w:t>
      </w:r>
      <w:proofErr w:type="spellStart"/>
      <w:r w:rsidRPr="00A32F29">
        <w:t>antecedentes</w:t>
      </w:r>
      <w:proofErr w:type="spellEnd"/>
      <w:r w:rsidRPr="00A32F29">
        <w:t xml:space="preserve"> </w:t>
      </w:r>
      <w:proofErr w:type="spellStart"/>
      <w:r w:rsidRPr="00A32F29">
        <w:t>penales</w:t>
      </w:r>
      <w:proofErr w:type="spellEnd"/>
      <w:r w:rsidRPr="00A32F29">
        <w:t xml:space="preserve"> </w:t>
      </w:r>
      <w:proofErr w:type="spellStart"/>
      <w:r w:rsidRPr="00A32F29">
        <w:t>sobre</w:t>
      </w:r>
      <w:proofErr w:type="spellEnd"/>
      <w:r w:rsidRPr="00A32F29">
        <w:t xml:space="preserve"> </w:t>
      </w:r>
      <w:proofErr w:type="spellStart"/>
      <w:r w:rsidRPr="00A32F29">
        <w:t>usted</w:t>
      </w:r>
      <w:proofErr w:type="spellEnd"/>
      <w:r w:rsidRPr="00A32F29">
        <w:t xml:space="preserve"> para </w:t>
      </w:r>
      <w:proofErr w:type="spellStart"/>
      <w:r w:rsidRPr="00A32F29">
        <w:t>averiguar</w:t>
      </w:r>
      <w:proofErr w:type="spellEnd"/>
      <w:r w:rsidRPr="00A32F29">
        <w:t xml:space="preserve"> </w:t>
      </w:r>
      <w:proofErr w:type="spellStart"/>
      <w:r w:rsidRPr="00A32F29">
        <w:t>cuál</w:t>
      </w:r>
      <w:proofErr w:type="spellEnd"/>
      <w:r w:rsidRPr="00A32F29">
        <w:t xml:space="preserve"> </w:t>
      </w:r>
      <w:proofErr w:type="spellStart"/>
      <w:r w:rsidRPr="00A32F29">
        <w:t>es</w:t>
      </w:r>
      <w:proofErr w:type="spellEnd"/>
      <w:r w:rsidRPr="00A32F29">
        <w:t xml:space="preserve"> </w:t>
      </w:r>
      <w:proofErr w:type="spellStart"/>
      <w:r w:rsidRPr="00A32F29">
        <w:t>su</w:t>
      </w:r>
      <w:proofErr w:type="spellEnd"/>
      <w:r w:rsidRPr="00A32F29">
        <w:t xml:space="preserve"> </w:t>
      </w:r>
      <w:proofErr w:type="spellStart"/>
      <w:r w:rsidRPr="00A32F29">
        <w:t>procedimiento</w:t>
      </w:r>
      <w:proofErr w:type="spellEnd"/>
      <w:r w:rsidR="00A32F29">
        <w:t xml:space="preserve"> de </w:t>
      </w:r>
      <w:proofErr w:type="spellStart"/>
      <w:r w:rsidR="00A32F29">
        <w:t>eliminación</w:t>
      </w:r>
      <w:proofErr w:type="spellEnd"/>
      <w:r w:rsidR="00A32F29">
        <w:t xml:space="preserve"> de </w:t>
      </w:r>
      <w:proofErr w:type="spellStart"/>
      <w:r w:rsidR="00A32F29">
        <w:t>antecedentes</w:t>
      </w:r>
      <w:bookmarkStart w:id="0" w:name="_GoBack"/>
      <w:bookmarkEnd w:id="0"/>
      <w:proofErr w:type="spellEnd"/>
    </w:p>
    <w:p w:rsidR="00DD0758" w:rsidRPr="00A32F29" w:rsidRDefault="00DD0758" w:rsidP="003E7AD4">
      <w:pPr>
        <w:rPr>
          <w:b/>
          <w:bCs/>
          <w:lang w:val="es-419"/>
        </w:rPr>
      </w:pPr>
      <w:r w:rsidRPr="00A32F29">
        <w:rPr>
          <w:b/>
          <w:bCs/>
          <w:lang w:val="es-419"/>
        </w:rPr>
        <w:t>Soy el acusado en un caso penal. ¿Puedo presentar la eliminación de antecedentes penales?</w:t>
      </w:r>
    </w:p>
    <w:p w:rsidR="00DD0758" w:rsidRPr="00A32F29" w:rsidRDefault="00DD0758" w:rsidP="003E7AD4">
      <w:proofErr w:type="spellStart"/>
      <w:r w:rsidRPr="00A32F29">
        <w:rPr>
          <w:b/>
          <w:bCs/>
        </w:rPr>
        <w:t>Sí</w:t>
      </w:r>
      <w:proofErr w:type="spellEnd"/>
      <w:r w:rsidRPr="00A32F29">
        <w:rPr>
          <w:b/>
          <w:bCs/>
        </w:rPr>
        <w:t xml:space="preserve">, </w:t>
      </w:r>
      <w:proofErr w:type="spellStart"/>
      <w:r w:rsidRPr="00A32F29">
        <w:rPr>
          <w:b/>
          <w:bCs/>
        </w:rPr>
        <w:t>en</w:t>
      </w:r>
      <w:proofErr w:type="spellEnd"/>
      <w:r w:rsidRPr="00A32F29">
        <w:rPr>
          <w:b/>
          <w:bCs/>
        </w:rPr>
        <w:t xml:space="preserve"> </w:t>
      </w:r>
      <w:proofErr w:type="spellStart"/>
      <w:r w:rsidRPr="00A32F29">
        <w:rPr>
          <w:b/>
          <w:bCs/>
        </w:rPr>
        <w:t>estos</w:t>
      </w:r>
      <w:proofErr w:type="spellEnd"/>
      <w:r w:rsidRPr="00A32F29">
        <w:rPr>
          <w:b/>
          <w:bCs/>
        </w:rPr>
        <w:t xml:space="preserve"> </w:t>
      </w:r>
      <w:proofErr w:type="spellStart"/>
      <w:r w:rsidRPr="00A32F29">
        <w:rPr>
          <w:b/>
          <w:bCs/>
        </w:rPr>
        <w:t>casos</w:t>
      </w:r>
      <w:proofErr w:type="spellEnd"/>
      <w:r w:rsidRPr="00A32F29">
        <w:rPr>
          <w:b/>
          <w:bCs/>
        </w:rPr>
        <w:t xml:space="preserve">: </w:t>
      </w:r>
    </w:p>
    <w:p w:rsidR="00DD0758" w:rsidRPr="00A32F29" w:rsidRDefault="00DD0758" w:rsidP="00A32F29">
      <w:pPr>
        <w:tabs>
          <w:tab w:val="left" w:pos="270"/>
        </w:tabs>
        <w:spacing w:before="240" w:after="0"/>
      </w:pPr>
      <w:r w:rsidRPr="00A32F29">
        <w:t>1.</w:t>
      </w:r>
      <w:r w:rsidRPr="00A32F29">
        <w:tab/>
      </w:r>
      <w:r w:rsidRPr="00A32F29">
        <w:rPr>
          <w:bCs/>
          <w:iCs/>
        </w:rPr>
        <w:t xml:space="preserve">El </w:t>
      </w:r>
      <w:proofErr w:type="spellStart"/>
      <w:r w:rsidRPr="00A32F29">
        <w:rPr>
          <w:bCs/>
          <w:iCs/>
        </w:rPr>
        <w:t>Gobernador</w:t>
      </w:r>
      <w:proofErr w:type="spellEnd"/>
      <w:r w:rsidRPr="00A32F29">
        <w:rPr>
          <w:bCs/>
          <w:iCs/>
        </w:rPr>
        <w:t xml:space="preserve"> de Maryland lo </w:t>
      </w:r>
      <w:proofErr w:type="spellStart"/>
      <w:r w:rsidRPr="00A32F29">
        <w:rPr>
          <w:bCs/>
          <w:iCs/>
        </w:rPr>
        <w:t>indultó</w:t>
      </w:r>
      <w:proofErr w:type="spellEnd"/>
      <w:r w:rsidRPr="00A32F29">
        <w:rPr>
          <w:bCs/>
          <w:iCs/>
        </w:rPr>
        <w:t>; O</w:t>
      </w:r>
    </w:p>
    <w:p w:rsidR="00DD0758" w:rsidRPr="00A32F29" w:rsidRDefault="00DD0758" w:rsidP="00A32F29">
      <w:pPr>
        <w:tabs>
          <w:tab w:val="left" w:pos="270"/>
        </w:tabs>
        <w:spacing w:before="240" w:after="0"/>
        <w:rPr>
          <w:bCs/>
          <w:iCs/>
        </w:rPr>
      </w:pPr>
      <w:r w:rsidRPr="00A32F29">
        <w:t>2.</w:t>
      </w:r>
      <w:r w:rsidRPr="00A32F29">
        <w:tab/>
      </w:r>
      <w:proofErr w:type="spellStart"/>
      <w:r w:rsidRPr="00A32F29">
        <w:rPr>
          <w:bCs/>
          <w:iCs/>
        </w:rPr>
        <w:t>Usted</w:t>
      </w:r>
      <w:proofErr w:type="spellEnd"/>
      <w:r w:rsidRPr="00A32F29">
        <w:rPr>
          <w:bCs/>
          <w:iCs/>
        </w:rPr>
        <w:t xml:space="preserve"> </w:t>
      </w:r>
      <w:proofErr w:type="spellStart"/>
      <w:r w:rsidRPr="00A32F29">
        <w:rPr>
          <w:bCs/>
          <w:iCs/>
        </w:rPr>
        <w:t>puede</w:t>
      </w:r>
      <w:proofErr w:type="spellEnd"/>
      <w:r w:rsidRPr="00A32F29">
        <w:rPr>
          <w:bCs/>
          <w:iCs/>
        </w:rPr>
        <w:t xml:space="preserve"> </w:t>
      </w:r>
      <w:proofErr w:type="spellStart"/>
      <w:r w:rsidRPr="00A32F29">
        <w:rPr>
          <w:bCs/>
          <w:iCs/>
        </w:rPr>
        <w:t>demostrar</w:t>
      </w:r>
      <w:proofErr w:type="spellEnd"/>
      <w:r w:rsidRPr="00A32F29">
        <w:rPr>
          <w:bCs/>
          <w:iCs/>
        </w:rPr>
        <w:t xml:space="preserve"> </w:t>
      </w:r>
      <w:proofErr w:type="spellStart"/>
      <w:r w:rsidRPr="00A32F29">
        <w:rPr>
          <w:bCs/>
          <w:iCs/>
        </w:rPr>
        <w:t>motivos</w:t>
      </w:r>
      <w:proofErr w:type="spellEnd"/>
      <w:r w:rsidRPr="00A32F29">
        <w:rPr>
          <w:bCs/>
          <w:iCs/>
        </w:rPr>
        <w:t xml:space="preserve"> </w:t>
      </w:r>
      <w:proofErr w:type="spellStart"/>
      <w:r w:rsidRPr="00A32F29">
        <w:rPr>
          <w:bCs/>
          <w:iCs/>
        </w:rPr>
        <w:t>justificantes</w:t>
      </w:r>
      <w:proofErr w:type="spellEnd"/>
      <w:r w:rsidRPr="00A32F29">
        <w:rPr>
          <w:bCs/>
          <w:iCs/>
        </w:rPr>
        <w:t>; O</w:t>
      </w:r>
    </w:p>
    <w:p w:rsidR="00A32F29" w:rsidRPr="00A32F29" w:rsidRDefault="00A32F29" w:rsidP="00A32F29">
      <w:pPr>
        <w:tabs>
          <w:tab w:val="left" w:pos="270"/>
        </w:tabs>
        <w:spacing w:before="240" w:after="0"/>
      </w:pPr>
    </w:p>
    <w:p w:rsidR="00DD0758" w:rsidRPr="00A32F29" w:rsidRDefault="00DD0758" w:rsidP="00A32F29">
      <w:pPr>
        <w:tabs>
          <w:tab w:val="left" w:pos="270"/>
        </w:tabs>
        <w:spacing w:after="0"/>
      </w:pPr>
      <w:r w:rsidRPr="00A32F29">
        <w:t>3.</w:t>
      </w:r>
      <w:r w:rsidRPr="00A32F29">
        <w:tab/>
      </w:r>
      <w:r w:rsidRPr="00A32F29">
        <w:rPr>
          <w:lang w:val="es-419"/>
        </w:rPr>
        <w:t>El caso se entabló contra usted inicialmente en el tribunal penal y luego se transfirió al tribunal de menores.</w:t>
      </w:r>
    </w:p>
    <w:p w:rsidR="00DD0758" w:rsidRPr="00A32F29" w:rsidRDefault="00DD0758" w:rsidP="00B64E6E">
      <w:pPr>
        <w:spacing w:after="0"/>
        <w:ind w:left="270"/>
        <w:rPr>
          <w:lang w:val="es-419"/>
        </w:rPr>
      </w:pPr>
    </w:p>
    <w:p w:rsidR="00DD0758" w:rsidRPr="00A32F29" w:rsidRDefault="00DD0758" w:rsidP="003E7AD4">
      <w:pPr>
        <w:ind w:left="720"/>
      </w:pPr>
      <w:r w:rsidRPr="00A32F29">
        <w:rPr>
          <w:lang w:val="es-ES"/>
        </w:rPr>
        <w:t xml:space="preserve">Aclaración sobre los antecedentes judiciales de menores y la eliminación: Si el caso se entabló contra usted como adulto y luego se transfirió a un tribunal de menores, usted tiene dos antecedentes: uno penal y uno judicial como menor. Siga los procedimientos de este folleto para eliminar los antecedentes penales de adultos. Consulte el folleto </w:t>
      </w:r>
      <w:r w:rsidRPr="00A32F29">
        <w:rPr>
          <w:i/>
          <w:lang w:val="es-ES"/>
        </w:rPr>
        <w:t>Eliminación de antecedentes judiciales de menores</w:t>
      </w:r>
      <w:r w:rsidRPr="00A32F29">
        <w:rPr>
          <w:lang w:val="es-ES"/>
        </w:rPr>
        <w:t xml:space="preserve"> para ver cómo eliminar la porción del antecedente judicial de menores de su expediente.</w:t>
      </w:r>
    </w:p>
    <w:p w:rsidR="00DD0758" w:rsidRPr="00A32F29" w:rsidRDefault="00DD0758" w:rsidP="00A4349F">
      <w:pPr>
        <w:spacing w:line="240" w:lineRule="auto"/>
        <w:rPr>
          <w:b/>
          <w:bCs/>
          <w:iCs/>
        </w:rPr>
      </w:pPr>
      <w:proofErr w:type="spellStart"/>
      <w:r w:rsidRPr="00A32F29">
        <w:rPr>
          <w:b/>
          <w:bCs/>
          <w:iCs/>
        </w:rPr>
        <w:t>Sí</w:t>
      </w:r>
      <w:proofErr w:type="spellEnd"/>
      <w:r w:rsidRPr="00A32F29">
        <w:rPr>
          <w:b/>
          <w:bCs/>
          <w:iCs/>
        </w:rPr>
        <w:t xml:space="preserve">, </w:t>
      </w:r>
      <w:proofErr w:type="spellStart"/>
      <w:r w:rsidRPr="00A32F29">
        <w:rPr>
          <w:b/>
          <w:bCs/>
          <w:iCs/>
        </w:rPr>
        <w:t>si</w:t>
      </w:r>
      <w:proofErr w:type="spellEnd"/>
      <w:r w:rsidRPr="00A32F29">
        <w:rPr>
          <w:b/>
          <w:bCs/>
          <w:iCs/>
        </w:rPr>
        <w:t xml:space="preserve"> </w:t>
      </w:r>
      <w:proofErr w:type="spellStart"/>
      <w:r w:rsidRPr="00A32F29">
        <w:rPr>
          <w:b/>
          <w:bCs/>
          <w:iCs/>
        </w:rPr>
        <w:t>transcurrieron</w:t>
      </w:r>
      <w:proofErr w:type="spellEnd"/>
      <w:r w:rsidRPr="00A32F29">
        <w:rPr>
          <w:b/>
          <w:bCs/>
          <w:iCs/>
        </w:rPr>
        <w:t xml:space="preserve"> </w:t>
      </w:r>
      <w:proofErr w:type="spellStart"/>
      <w:r w:rsidRPr="00A32F29">
        <w:rPr>
          <w:b/>
          <w:bCs/>
          <w:iCs/>
        </w:rPr>
        <w:t>tres</w:t>
      </w:r>
      <w:proofErr w:type="spellEnd"/>
      <w:r w:rsidRPr="00A32F29">
        <w:rPr>
          <w:b/>
          <w:bCs/>
          <w:iCs/>
        </w:rPr>
        <w:t xml:space="preserve"> (3) </w:t>
      </w:r>
      <w:proofErr w:type="spellStart"/>
      <w:r w:rsidRPr="00A32F29">
        <w:rPr>
          <w:b/>
          <w:bCs/>
          <w:iCs/>
        </w:rPr>
        <w:t>años</w:t>
      </w:r>
      <w:proofErr w:type="spellEnd"/>
      <w:r w:rsidRPr="00A32F29">
        <w:rPr>
          <w:b/>
          <w:bCs/>
          <w:iCs/>
        </w:rPr>
        <w:t xml:space="preserve"> y: </w:t>
      </w:r>
    </w:p>
    <w:p w:rsidR="00DD0758" w:rsidRPr="00A32F29" w:rsidRDefault="00DD0758" w:rsidP="00A32F29">
      <w:pPr>
        <w:tabs>
          <w:tab w:val="left" w:pos="270"/>
        </w:tabs>
        <w:spacing w:before="240" w:after="0"/>
      </w:pPr>
      <w:r w:rsidRPr="00A32F29">
        <w:t>1.</w:t>
      </w:r>
      <w:r w:rsidRPr="00A32F29">
        <w:tab/>
      </w:r>
      <w:r w:rsidRPr="00A32F29">
        <w:rPr>
          <w:bCs/>
          <w:iCs/>
          <w:lang w:val="es-419"/>
        </w:rPr>
        <w:t xml:space="preserve">Se le dio libertad condicional antes </w:t>
      </w:r>
      <w:proofErr w:type="gramStart"/>
      <w:r w:rsidRPr="00A32F29">
        <w:rPr>
          <w:bCs/>
          <w:iCs/>
          <w:lang w:val="es-419"/>
        </w:rPr>
        <w:t>del</w:t>
      </w:r>
      <w:proofErr w:type="gramEnd"/>
      <w:r w:rsidRPr="00A32F29">
        <w:rPr>
          <w:bCs/>
          <w:iCs/>
          <w:lang w:val="es-419"/>
        </w:rPr>
        <w:t xml:space="preserve"> fallo (salvo casos de DUI (conducir bajo la influencia)/DWI (conducir en estado afectado)); O</w:t>
      </w:r>
    </w:p>
    <w:p w:rsidR="00DD0758" w:rsidRPr="00A32F29" w:rsidRDefault="00DD0758" w:rsidP="00A32F29">
      <w:pPr>
        <w:tabs>
          <w:tab w:val="left" w:pos="270"/>
        </w:tabs>
        <w:spacing w:before="240" w:after="0"/>
      </w:pPr>
      <w:r w:rsidRPr="00A32F29">
        <w:t>2.</w:t>
      </w:r>
      <w:r w:rsidRPr="00A32F29">
        <w:tab/>
      </w:r>
      <w:r w:rsidRPr="00A32F29">
        <w:rPr>
          <w:bCs/>
          <w:iCs/>
        </w:rPr>
        <w:t xml:space="preserve">El Tribunal </w:t>
      </w:r>
      <w:proofErr w:type="spellStart"/>
      <w:r w:rsidRPr="00A32F29">
        <w:rPr>
          <w:bCs/>
          <w:iCs/>
        </w:rPr>
        <w:t>suspendió</w:t>
      </w:r>
      <w:proofErr w:type="spellEnd"/>
      <w:r w:rsidRPr="00A32F29">
        <w:rPr>
          <w:bCs/>
          <w:iCs/>
        </w:rPr>
        <w:t xml:space="preserve"> </w:t>
      </w:r>
      <w:proofErr w:type="spellStart"/>
      <w:r w:rsidRPr="00A32F29">
        <w:rPr>
          <w:bCs/>
          <w:iCs/>
        </w:rPr>
        <w:t>indefinidamente</w:t>
      </w:r>
      <w:proofErr w:type="spellEnd"/>
      <w:r w:rsidRPr="00A32F29">
        <w:rPr>
          <w:bCs/>
          <w:iCs/>
        </w:rPr>
        <w:t xml:space="preserve"> </w:t>
      </w:r>
      <w:proofErr w:type="spellStart"/>
      <w:r w:rsidRPr="00A32F29">
        <w:rPr>
          <w:bCs/>
          <w:iCs/>
        </w:rPr>
        <w:t>su</w:t>
      </w:r>
      <w:proofErr w:type="spellEnd"/>
      <w:r w:rsidRPr="00A32F29">
        <w:rPr>
          <w:bCs/>
          <w:iCs/>
        </w:rPr>
        <w:t xml:space="preserve"> </w:t>
      </w:r>
      <w:proofErr w:type="spellStart"/>
      <w:r w:rsidRPr="00A32F29">
        <w:rPr>
          <w:bCs/>
          <w:iCs/>
        </w:rPr>
        <w:t>caso</w:t>
      </w:r>
      <w:proofErr w:type="spellEnd"/>
      <w:r w:rsidRPr="00A32F29">
        <w:rPr>
          <w:bCs/>
          <w:iCs/>
        </w:rPr>
        <w:t xml:space="preserve"> (“stet”); O</w:t>
      </w:r>
    </w:p>
    <w:p w:rsidR="00DD0758" w:rsidRPr="00A32F29" w:rsidRDefault="00DD0758" w:rsidP="00A32F29">
      <w:pPr>
        <w:spacing w:before="240" w:after="0"/>
        <w:ind w:left="270" w:hanging="270"/>
      </w:pPr>
      <w:r w:rsidRPr="00A32F29">
        <w:t xml:space="preserve">3. </w:t>
      </w:r>
      <w:r w:rsidR="00A32F29" w:rsidRPr="00A32F29">
        <w:t xml:space="preserve"> </w:t>
      </w:r>
      <w:r w:rsidRPr="00A32F29">
        <w:rPr>
          <w:bCs/>
          <w:iCs/>
          <w:lang w:val="es-419"/>
        </w:rPr>
        <w:t>El delito del que se le condenó o del cual no se le declaró responsable penalmente está incluido en la lista del Código de Md., Procedimiento Penal Sección § 10-105(a</w:t>
      </w:r>
      <w:proofErr w:type="gramStart"/>
      <w:r w:rsidRPr="00A32F29">
        <w:rPr>
          <w:bCs/>
          <w:iCs/>
          <w:lang w:val="es-419"/>
        </w:rPr>
        <w:t>)(</w:t>
      </w:r>
      <w:proofErr w:type="gramEnd"/>
      <w:r w:rsidRPr="00A32F29">
        <w:rPr>
          <w:bCs/>
          <w:iCs/>
          <w:lang w:val="es-419"/>
        </w:rPr>
        <w:t>9) o (10).</w:t>
      </w:r>
    </w:p>
    <w:p w:rsidR="00DD0758" w:rsidRPr="00A32F29" w:rsidRDefault="00DD0758" w:rsidP="00A4349F">
      <w:pPr>
        <w:rPr>
          <w:b/>
          <w:lang w:val="es-419"/>
        </w:rPr>
      </w:pPr>
    </w:p>
    <w:p w:rsidR="00DD0758" w:rsidRPr="00A32F29" w:rsidRDefault="00DD0758" w:rsidP="00A4349F">
      <w:r w:rsidRPr="00A32F29">
        <w:rPr>
          <w:b/>
          <w:bCs/>
          <w:iCs/>
          <w:lang w:val="es-419"/>
        </w:rPr>
        <w:t xml:space="preserve">Sí, si han transcurrido tres (3) años O usted presenta una “Exención General y Liberación” [“General Waiver and Release” formulario CC-DC/CR-78] </w:t>
      </w:r>
      <w:r w:rsidRPr="00A32F29">
        <w:rPr>
          <w:rStyle w:val="A7"/>
          <w:b w:val="0"/>
          <w:sz w:val="22"/>
          <w:lang w:val="es-ES"/>
        </w:rPr>
        <w:t>(Al presentar este formulario, renunciará a ciertos derechos legales que puede tener.</w:t>
      </w:r>
      <w:r w:rsidRPr="00A32F29">
        <w:rPr>
          <w:lang w:val="es-ES"/>
        </w:rPr>
        <w:t xml:space="preserve"> Antes de hacerlo, le convendrá hablar con un abogado)</w:t>
      </w:r>
      <w:r w:rsidRPr="00A32F29">
        <w:rPr>
          <w:b/>
          <w:bCs/>
          <w:iCs/>
          <w:vertAlign w:val="superscript"/>
        </w:rPr>
        <w:t xml:space="preserve"> </w:t>
      </w:r>
      <w:r w:rsidRPr="00A32F29">
        <w:rPr>
          <w:b/>
          <w:bCs/>
          <w:iCs/>
        </w:rPr>
        <w:t>y:</w:t>
      </w:r>
    </w:p>
    <w:p w:rsidR="00DD0758" w:rsidRPr="00A32F29" w:rsidRDefault="00DD0758" w:rsidP="00A32F29">
      <w:pPr>
        <w:tabs>
          <w:tab w:val="left" w:pos="270"/>
        </w:tabs>
        <w:spacing w:before="240" w:after="0"/>
      </w:pPr>
      <w:r w:rsidRPr="00A32F29">
        <w:t>1.</w:t>
      </w:r>
      <w:r w:rsidRPr="00A32F29">
        <w:tab/>
      </w:r>
      <w:r w:rsidRPr="00A32F29">
        <w:rPr>
          <w:bCs/>
          <w:iCs/>
        </w:rPr>
        <w:t xml:space="preserve">Se le </w:t>
      </w:r>
      <w:proofErr w:type="spellStart"/>
      <w:r w:rsidRPr="00A32F29">
        <w:rPr>
          <w:bCs/>
          <w:iCs/>
        </w:rPr>
        <w:t>declaró</w:t>
      </w:r>
      <w:proofErr w:type="spellEnd"/>
      <w:r w:rsidRPr="00A32F29">
        <w:rPr>
          <w:bCs/>
          <w:iCs/>
        </w:rPr>
        <w:t xml:space="preserve"> no culpable (“</w:t>
      </w:r>
      <w:proofErr w:type="spellStart"/>
      <w:r w:rsidRPr="00A32F29">
        <w:rPr>
          <w:bCs/>
          <w:iCs/>
        </w:rPr>
        <w:t>absolución</w:t>
      </w:r>
      <w:proofErr w:type="spellEnd"/>
      <w:r w:rsidRPr="00A32F29">
        <w:rPr>
          <w:bCs/>
          <w:iCs/>
        </w:rPr>
        <w:t xml:space="preserve"> de cargos”); O</w:t>
      </w:r>
    </w:p>
    <w:p w:rsidR="00DD0758" w:rsidRPr="00A32F29" w:rsidRDefault="00DD0758" w:rsidP="00A32F29">
      <w:pPr>
        <w:tabs>
          <w:tab w:val="left" w:pos="270"/>
        </w:tabs>
        <w:spacing w:after="0"/>
      </w:pPr>
      <w:r w:rsidRPr="00A32F29">
        <w:t>2.</w:t>
      </w:r>
      <w:r w:rsidRPr="00A32F29">
        <w:tab/>
      </w:r>
      <w:r w:rsidRPr="00A32F29">
        <w:rPr>
          <w:bCs/>
          <w:iCs/>
          <w:lang w:val="es-419"/>
        </w:rPr>
        <w:t>El estado no enjuició el cargo contra usted (“nolle prosequi”).</w:t>
      </w:r>
    </w:p>
    <w:p w:rsidR="00DD0758" w:rsidRPr="00A32F29" w:rsidRDefault="00DD0758">
      <w:pPr>
        <w:rPr>
          <w:b/>
          <w:lang w:val="es-419"/>
        </w:rPr>
      </w:pPr>
    </w:p>
    <w:p w:rsidR="00DD0758" w:rsidRPr="00A32F29" w:rsidRDefault="00DD0758" w:rsidP="00A4349F">
      <w:pPr>
        <w:spacing w:line="240" w:lineRule="auto"/>
        <w:rPr>
          <w:bCs/>
          <w:iCs/>
          <w:lang w:val="es-419"/>
        </w:rPr>
      </w:pPr>
      <w:r w:rsidRPr="00A32F29">
        <w:rPr>
          <w:b/>
          <w:bCs/>
          <w:iCs/>
          <w:lang w:val="es-419"/>
        </w:rPr>
        <w:t xml:space="preserve">¿Debo comunicar a otros la información que el tribunal eliminó? </w:t>
      </w:r>
    </w:p>
    <w:p w:rsidR="00DD0758" w:rsidRPr="00A32F29" w:rsidRDefault="00DD0758" w:rsidP="00A4349F">
      <w:pPr>
        <w:rPr>
          <w:lang w:val="es-ES"/>
        </w:rPr>
      </w:pPr>
      <w:r w:rsidRPr="00A32F29">
        <w:rPr>
          <w:bCs/>
          <w:iCs/>
          <w:lang w:val="es-419"/>
        </w:rPr>
        <w:t xml:space="preserve">En virtud del Código de Md., Procedimiento Penal Sección § 10-109 [Md. </w:t>
      </w:r>
      <w:r w:rsidRPr="00A32F29">
        <w:rPr>
          <w:bCs/>
          <w:iCs/>
        </w:rPr>
        <w:t xml:space="preserve">Code, Criminal Procedure § 10-109], un </w:t>
      </w:r>
      <w:proofErr w:type="spellStart"/>
      <w:r w:rsidRPr="00A32F29">
        <w:rPr>
          <w:bCs/>
          <w:iCs/>
        </w:rPr>
        <w:t>empleado</w:t>
      </w:r>
      <w:proofErr w:type="spellEnd"/>
      <w:r w:rsidRPr="00A32F29">
        <w:rPr>
          <w:bCs/>
          <w:iCs/>
        </w:rPr>
        <w:t xml:space="preserve"> o </w:t>
      </w:r>
      <w:proofErr w:type="spellStart"/>
      <w:r w:rsidRPr="00A32F29">
        <w:rPr>
          <w:bCs/>
          <w:iCs/>
        </w:rPr>
        <w:t>institución</w:t>
      </w:r>
      <w:proofErr w:type="spellEnd"/>
      <w:r w:rsidRPr="00A32F29">
        <w:rPr>
          <w:bCs/>
          <w:iCs/>
        </w:rPr>
        <w:t xml:space="preserve"> </w:t>
      </w:r>
      <w:proofErr w:type="spellStart"/>
      <w:r w:rsidRPr="00A32F29">
        <w:rPr>
          <w:bCs/>
          <w:iCs/>
        </w:rPr>
        <w:t>educativa</w:t>
      </w:r>
      <w:proofErr w:type="spellEnd"/>
      <w:r w:rsidRPr="00A32F29">
        <w:rPr>
          <w:bCs/>
          <w:iCs/>
        </w:rPr>
        <w:t xml:space="preserve"> no </w:t>
      </w:r>
      <w:proofErr w:type="spellStart"/>
      <w:r w:rsidRPr="00A32F29">
        <w:rPr>
          <w:bCs/>
          <w:iCs/>
        </w:rPr>
        <w:t>puede</w:t>
      </w:r>
      <w:proofErr w:type="spellEnd"/>
      <w:r w:rsidRPr="00A32F29">
        <w:rPr>
          <w:bCs/>
          <w:iCs/>
        </w:rPr>
        <w:t xml:space="preserve"> </w:t>
      </w:r>
      <w:proofErr w:type="spellStart"/>
      <w:r w:rsidRPr="00A32F29">
        <w:rPr>
          <w:bCs/>
          <w:iCs/>
        </w:rPr>
        <w:t>exigir</w:t>
      </w:r>
      <w:proofErr w:type="spellEnd"/>
      <w:r w:rsidRPr="00A32F29">
        <w:rPr>
          <w:bCs/>
          <w:iCs/>
        </w:rPr>
        <w:t xml:space="preserve">, </w:t>
      </w:r>
      <w:proofErr w:type="spellStart"/>
      <w:smartTag w:uri="urn:schemas-microsoft-com:office:smarttags" w:element="place">
        <w:smartTag w:uri="urn:schemas-microsoft-com:office:smarttags" w:element="City">
          <w:r w:rsidRPr="00A32F29">
            <w:rPr>
              <w:bCs/>
              <w:iCs/>
            </w:rPr>
            <w:t>como</w:t>
          </w:r>
        </w:smartTag>
      </w:smartTag>
      <w:proofErr w:type="spellEnd"/>
      <w:r w:rsidRPr="00A32F29">
        <w:rPr>
          <w:bCs/>
          <w:iCs/>
        </w:rPr>
        <w:t xml:space="preserve"> </w:t>
      </w:r>
      <w:proofErr w:type="spellStart"/>
      <w:r w:rsidRPr="00A32F29">
        <w:rPr>
          <w:bCs/>
          <w:iCs/>
        </w:rPr>
        <w:t>condición</w:t>
      </w:r>
      <w:proofErr w:type="spellEnd"/>
      <w:r w:rsidRPr="00A32F29">
        <w:rPr>
          <w:bCs/>
          <w:iCs/>
        </w:rPr>
        <w:t xml:space="preserve"> de </w:t>
      </w:r>
      <w:proofErr w:type="spellStart"/>
      <w:r w:rsidRPr="00A32F29">
        <w:rPr>
          <w:bCs/>
          <w:iCs/>
        </w:rPr>
        <w:t>empleo</w:t>
      </w:r>
      <w:proofErr w:type="spellEnd"/>
      <w:r w:rsidRPr="00A32F29">
        <w:rPr>
          <w:bCs/>
          <w:iCs/>
        </w:rPr>
        <w:t xml:space="preserve"> o </w:t>
      </w:r>
      <w:proofErr w:type="spellStart"/>
      <w:r w:rsidRPr="00A32F29">
        <w:rPr>
          <w:bCs/>
          <w:iCs/>
        </w:rPr>
        <w:t>admisión</w:t>
      </w:r>
      <w:proofErr w:type="spellEnd"/>
      <w:r w:rsidRPr="00A32F29">
        <w:rPr>
          <w:bCs/>
          <w:iCs/>
        </w:rPr>
        <w:t xml:space="preserve">, </w:t>
      </w:r>
      <w:proofErr w:type="spellStart"/>
      <w:r w:rsidRPr="00A32F29">
        <w:rPr>
          <w:bCs/>
          <w:iCs/>
        </w:rPr>
        <w:t>que</w:t>
      </w:r>
      <w:proofErr w:type="spellEnd"/>
      <w:r w:rsidRPr="00A32F29">
        <w:rPr>
          <w:bCs/>
          <w:iCs/>
        </w:rPr>
        <w:t xml:space="preserve"> </w:t>
      </w:r>
      <w:proofErr w:type="spellStart"/>
      <w:r w:rsidRPr="00A32F29">
        <w:rPr>
          <w:bCs/>
          <w:iCs/>
        </w:rPr>
        <w:t>usted</w:t>
      </w:r>
      <w:proofErr w:type="spellEnd"/>
      <w:r w:rsidRPr="00A32F29">
        <w:rPr>
          <w:bCs/>
          <w:iCs/>
        </w:rPr>
        <w:t xml:space="preserve"> </w:t>
      </w:r>
      <w:proofErr w:type="spellStart"/>
      <w:r w:rsidRPr="00A32F29">
        <w:rPr>
          <w:bCs/>
          <w:iCs/>
        </w:rPr>
        <w:t>divulgue</w:t>
      </w:r>
      <w:proofErr w:type="spellEnd"/>
      <w:r w:rsidRPr="00A32F29">
        <w:rPr>
          <w:bCs/>
          <w:iCs/>
        </w:rPr>
        <w:t xml:space="preserve"> la </w:t>
      </w:r>
      <w:proofErr w:type="spellStart"/>
      <w:r w:rsidRPr="00A32F29">
        <w:rPr>
          <w:bCs/>
          <w:iCs/>
        </w:rPr>
        <w:t>información</w:t>
      </w:r>
      <w:proofErr w:type="spellEnd"/>
      <w:r w:rsidRPr="00A32F29">
        <w:rPr>
          <w:bCs/>
          <w:iCs/>
        </w:rPr>
        <w:t xml:space="preserve"> penal </w:t>
      </w:r>
      <w:proofErr w:type="spellStart"/>
      <w:r w:rsidRPr="00A32F29">
        <w:rPr>
          <w:bCs/>
          <w:iCs/>
        </w:rPr>
        <w:t>eliminada</w:t>
      </w:r>
      <w:proofErr w:type="spellEnd"/>
      <w:r w:rsidRPr="00A32F29">
        <w:rPr>
          <w:bCs/>
          <w:iCs/>
        </w:rPr>
        <w:t xml:space="preserve"> </w:t>
      </w:r>
      <w:proofErr w:type="spellStart"/>
      <w:r w:rsidRPr="00A32F29">
        <w:rPr>
          <w:bCs/>
          <w:iCs/>
        </w:rPr>
        <w:t>sobre</w:t>
      </w:r>
      <w:proofErr w:type="spellEnd"/>
      <w:r w:rsidRPr="00A32F29">
        <w:rPr>
          <w:bCs/>
          <w:iCs/>
        </w:rPr>
        <w:t xml:space="preserve"> </w:t>
      </w:r>
      <w:proofErr w:type="spellStart"/>
      <w:r w:rsidRPr="00A32F29">
        <w:rPr>
          <w:bCs/>
          <w:iCs/>
        </w:rPr>
        <w:t>su</w:t>
      </w:r>
      <w:proofErr w:type="spellEnd"/>
      <w:r w:rsidRPr="00A32F29">
        <w:rPr>
          <w:bCs/>
          <w:iCs/>
        </w:rPr>
        <w:t xml:space="preserve"> persona. </w:t>
      </w:r>
      <w:r w:rsidRPr="00A32F29">
        <w:rPr>
          <w:bCs/>
          <w:iCs/>
          <w:lang w:val="es-419"/>
        </w:rPr>
        <w:t xml:space="preserve">Esto incluye al gobierno estatal. Además, el estado no puede exigirle que divulgue la información penal eliminada cuando solicite una licencia estatal, permiso u otro registro. </w:t>
      </w:r>
      <w:r w:rsidRPr="00A32F29">
        <w:rPr>
          <w:lang w:val="es-ES"/>
        </w:rPr>
        <w:t>Se le puede exigir proporcionar información sobre casos eliminados en ciertas otras circunstancias no regidas por la ley de Maryland.</w:t>
      </w:r>
    </w:p>
    <w:p w:rsidR="00DD0758" w:rsidRPr="00A32F29" w:rsidRDefault="00DD0758" w:rsidP="00A4349F">
      <w:pPr>
        <w:spacing w:after="0"/>
        <w:rPr>
          <w:b/>
        </w:rPr>
      </w:pPr>
      <w:r w:rsidRPr="00A32F29">
        <w:rPr>
          <w:b/>
        </w:rPr>
        <w:t>:</w:t>
      </w:r>
    </w:p>
    <w:p w:rsidR="00DD0758" w:rsidRPr="00A32F29" w:rsidRDefault="00DD0758" w:rsidP="00A4349F">
      <w:pPr>
        <w:spacing w:line="240" w:lineRule="auto"/>
        <w:rPr>
          <w:bCs/>
          <w:iCs/>
        </w:rPr>
      </w:pPr>
      <w:r w:rsidRPr="00A32F29">
        <w:rPr>
          <w:b/>
          <w:bCs/>
          <w:iCs/>
        </w:rPr>
        <w:t xml:space="preserve">Para </w:t>
      </w:r>
      <w:proofErr w:type="spellStart"/>
      <w:r w:rsidRPr="00A32F29">
        <w:rPr>
          <w:b/>
          <w:bCs/>
          <w:iCs/>
        </w:rPr>
        <w:t>más</w:t>
      </w:r>
      <w:proofErr w:type="spellEnd"/>
      <w:r w:rsidRPr="00A32F29">
        <w:rPr>
          <w:b/>
          <w:bCs/>
          <w:iCs/>
        </w:rPr>
        <w:t xml:space="preserve"> </w:t>
      </w:r>
      <w:proofErr w:type="spellStart"/>
      <w:r w:rsidRPr="00A32F29">
        <w:rPr>
          <w:b/>
          <w:bCs/>
          <w:iCs/>
        </w:rPr>
        <w:t>información</w:t>
      </w:r>
      <w:proofErr w:type="spellEnd"/>
      <w:r w:rsidRPr="00A32F29">
        <w:rPr>
          <w:b/>
          <w:bCs/>
          <w:iCs/>
        </w:rPr>
        <w:t xml:space="preserve">: </w:t>
      </w:r>
    </w:p>
    <w:p w:rsidR="00DD0758" w:rsidRPr="00A32F29" w:rsidRDefault="00DD0758" w:rsidP="006502EE">
      <w:pPr>
        <w:spacing w:line="240" w:lineRule="auto"/>
        <w:rPr>
          <w:lang w:val="es-ES"/>
        </w:rPr>
      </w:pPr>
      <w:r w:rsidRPr="00A32F29">
        <w:rPr>
          <w:bCs/>
          <w:iCs/>
          <w:lang w:val="es-419"/>
        </w:rPr>
        <w:t xml:space="preserve">El proceso de eliminación de antecedentes penales puede ser complicado. </w:t>
      </w:r>
    </w:p>
    <w:p w:rsidR="00DD0758" w:rsidRPr="0001348A" w:rsidRDefault="00DD0758" w:rsidP="006502EE">
      <w:pPr>
        <w:spacing w:before="240"/>
        <w:rPr>
          <w:lang w:val="es-419"/>
        </w:rPr>
      </w:pPr>
      <w:r w:rsidRPr="00A32F29">
        <w:rPr>
          <w:lang w:val="es-419"/>
        </w:rPr>
        <w:t xml:space="preserve"> </w:t>
      </w:r>
      <w:r w:rsidRPr="00A32F29">
        <w:rPr>
          <w:lang w:val="es-ES"/>
        </w:rPr>
        <w:t xml:space="preserve">Para más información, consulte el Código anotado de Md., Procedimiento Penal Sección  10-101 y siguientes, </w:t>
      </w:r>
      <w:r w:rsidRPr="00A32F29">
        <w:rPr>
          <w:bCs/>
          <w:iCs/>
          <w:lang w:val="es-419"/>
        </w:rPr>
        <w:t>y el folleto sobre Eliminación de antecedentes penales del</w:t>
      </w:r>
      <w:r w:rsidR="00A32F29" w:rsidRPr="00A32F29">
        <w:rPr>
          <w:bCs/>
          <w:iCs/>
          <w:lang w:val="es-419"/>
        </w:rPr>
        <w:t xml:space="preserve"> Poder Judicial de Maryland en </w:t>
      </w:r>
      <w:r w:rsidRPr="00A32F29">
        <w:rPr>
          <w:lang w:val="es-419"/>
        </w:rPr>
        <w:t xml:space="preserve"> </w:t>
      </w:r>
      <w:hyperlink r:id="rId5" w:history="1">
        <w:r w:rsidRPr="0001348A">
          <w:rPr>
            <w:rStyle w:val="Hyperlink"/>
            <w:lang w:val="es-419"/>
          </w:rPr>
          <w:t>www.mdcourts.gov/courtrecords</w:t>
        </w:r>
      </w:hyperlink>
      <w:r w:rsidRPr="0001348A">
        <w:rPr>
          <w:lang w:val="es-419"/>
        </w:rPr>
        <w:t xml:space="preserve">.  </w:t>
      </w:r>
    </w:p>
    <w:p w:rsidR="00DD0758" w:rsidRPr="0001348A" w:rsidRDefault="00DD0758" w:rsidP="006502EE">
      <w:pPr>
        <w:rPr>
          <w:lang w:val="es-419"/>
        </w:rPr>
      </w:pPr>
      <w:r w:rsidRPr="00A32F29">
        <w:rPr>
          <w:bCs/>
          <w:iCs/>
          <w:lang w:val="es-419"/>
        </w:rPr>
        <w:t>Los formularios judiciales se encuentran en el sitio web del Pode</w:t>
      </w:r>
      <w:r w:rsidR="00A32F29" w:rsidRPr="00A32F29">
        <w:rPr>
          <w:bCs/>
          <w:iCs/>
          <w:lang w:val="es-419"/>
        </w:rPr>
        <w:t>r Judicial de Maryland en</w:t>
      </w:r>
      <w:r w:rsidR="00A32F29" w:rsidRPr="00A32F29">
        <w:rPr>
          <w:lang w:val="es-419"/>
        </w:rPr>
        <w:t xml:space="preserve"> </w:t>
      </w:r>
      <w:hyperlink r:id="rId6" w:history="1">
        <w:r w:rsidRPr="0001348A">
          <w:rPr>
            <w:rStyle w:val="Hyperlink"/>
            <w:lang w:val="es-419"/>
          </w:rPr>
          <w:t>www.mdcourts.gov/courtforms</w:t>
        </w:r>
      </w:hyperlink>
      <w:r w:rsidRPr="0001348A">
        <w:rPr>
          <w:lang w:val="es-419"/>
        </w:rPr>
        <w:t>.</w:t>
      </w:r>
    </w:p>
    <w:p w:rsidR="00DD0758" w:rsidRPr="0001348A" w:rsidRDefault="00A32F29" w:rsidP="006502EE">
      <w:pPr>
        <w:rPr>
          <w:lang w:val="es-419"/>
        </w:rPr>
      </w:pPr>
      <w:r w:rsidRPr="00A32F29">
        <w:rPr>
          <w:bCs/>
          <w:iCs/>
          <w:lang w:val="es-419"/>
        </w:rPr>
        <w:t>Lea las leyes de Maryland en</w:t>
      </w:r>
      <w:r w:rsidR="00DD0758" w:rsidRPr="00A32F29">
        <w:rPr>
          <w:bCs/>
          <w:iCs/>
          <w:lang w:val="es-419"/>
        </w:rPr>
        <w:t xml:space="preserve"> </w:t>
      </w:r>
      <w:hyperlink r:id="rId7" w:history="1">
        <w:r w:rsidR="00DD0758" w:rsidRPr="0001348A">
          <w:rPr>
            <w:rStyle w:val="Hyperlink"/>
            <w:lang w:val="es-419"/>
          </w:rPr>
          <w:t>www.mdcourts.gov/lawlib/researchtools/sourcesmdlaw.html</w:t>
        </w:r>
      </w:hyperlink>
      <w:r w:rsidR="00DD0758" w:rsidRPr="0001348A">
        <w:rPr>
          <w:lang w:val="es-419"/>
        </w:rPr>
        <w:t>.</w:t>
      </w:r>
    </w:p>
    <w:p w:rsidR="00DD0758" w:rsidRPr="0001348A" w:rsidRDefault="00DD0758">
      <w:pPr>
        <w:rPr>
          <w:lang w:val="es-419"/>
        </w:rPr>
      </w:pPr>
      <w:r w:rsidRPr="00A32F29">
        <w:rPr>
          <w:bCs/>
          <w:iCs/>
          <w:lang w:val="es-419"/>
        </w:rPr>
        <w:t>Visite la Biblioteca Legal del Pueblo de Ma</w:t>
      </w:r>
      <w:r w:rsidR="00A32F29" w:rsidRPr="00A32F29">
        <w:rPr>
          <w:bCs/>
          <w:iCs/>
          <w:lang w:val="es-419"/>
        </w:rPr>
        <w:t>ryland, un recurso en línea, en</w:t>
      </w:r>
      <w:r w:rsidRPr="00A32F29">
        <w:rPr>
          <w:lang w:val="es-419"/>
        </w:rPr>
        <w:t xml:space="preserve"> </w:t>
      </w:r>
      <w:hyperlink r:id="rId8" w:history="1">
        <w:r w:rsidRPr="0001348A">
          <w:rPr>
            <w:rStyle w:val="Hyperlink"/>
            <w:lang w:val="es-419"/>
          </w:rPr>
          <w:t>www.peoples-law.org</w:t>
        </w:r>
      </w:hyperlink>
      <w:r w:rsidRPr="0001348A">
        <w:rPr>
          <w:lang w:val="es-419"/>
        </w:rPr>
        <w:t>.</w:t>
      </w:r>
    </w:p>
    <w:p w:rsidR="00DD0758" w:rsidRPr="0001348A" w:rsidRDefault="00DD0758">
      <w:pPr>
        <w:rPr>
          <w:lang w:val="es-419"/>
        </w:rPr>
      </w:pPr>
      <w:r w:rsidRPr="00A32F29">
        <w:rPr>
          <w:bCs/>
          <w:iCs/>
          <w:lang w:val="es-419"/>
        </w:rPr>
        <w:t>Visite personalmente cualquier biblioteca pública especializada en leyes. Llame al 410.260.143</w:t>
      </w:r>
      <w:r w:rsidR="00A32F29" w:rsidRPr="00A32F29">
        <w:rPr>
          <w:bCs/>
          <w:iCs/>
          <w:lang w:val="es-419"/>
        </w:rPr>
        <w:t>0 o averigüe más información en</w:t>
      </w:r>
      <w:r w:rsidRPr="00A32F29">
        <w:rPr>
          <w:bCs/>
          <w:iCs/>
          <w:lang w:val="es-419"/>
        </w:rPr>
        <w:t xml:space="preserve"> </w:t>
      </w:r>
      <w:hyperlink r:id="rId9" w:history="1">
        <w:r w:rsidRPr="0001348A">
          <w:rPr>
            <w:rStyle w:val="Hyperlink"/>
            <w:lang w:val="es-419"/>
          </w:rPr>
          <w:t>www.mdcourts.gov/lawlib</w:t>
        </w:r>
      </w:hyperlink>
      <w:r w:rsidRPr="0001348A">
        <w:rPr>
          <w:lang w:val="es-419"/>
        </w:rPr>
        <w:t>.</w:t>
      </w:r>
    </w:p>
    <w:p w:rsidR="00DD0758" w:rsidRPr="00A32F29" w:rsidRDefault="00DD0758">
      <w:pPr>
        <w:rPr>
          <w:lang w:val="es-419"/>
        </w:rPr>
      </w:pPr>
      <w:r w:rsidRPr="00A32F29">
        <w:rPr>
          <w:bCs/>
          <w:iCs/>
          <w:lang w:val="es-419"/>
        </w:rPr>
        <w:t>Visite o llame a la Oficina del Secretario del tribunal que trató su caso.</w:t>
      </w:r>
    </w:p>
    <w:p w:rsidR="00DD0758" w:rsidRPr="0001348A" w:rsidRDefault="00DD0758" w:rsidP="006502EE">
      <w:pPr>
        <w:rPr>
          <w:i/>
          <w:lang w:val="es-419"/>
        </w:rPr>
      </w:pPr>
    </w:p>
    <w:p w:rsidR="00DD0758" w:rsidRPr="003011F9" w:rsidRDefault="00DD0758" w:rsidP="006502EE">
      <w:pPr>
        <w:rPr>
          <w:i/>
        </w:rPr>
      </w:pPr>
      <w:r w:rsidRPr="00A32F29">
        <w:rPr>
          <w:i/>
          <w:lang w:val="es-ES"/>
        </w:rPr>
        <w:t>Este folleto fue creado por la Comisión de Acceso a la Justicia de Maryland, con la asistencia de la Oficina de Comunicaciones y Asuntos Públicos del Poder Judicial de Maryland.</w:t>
      </w:r>
      <w:r w:rsidRPr="00A32F29">
        <w:rPr>
          <w:rStyle w:val="tw4winMark"/>
          <w:color w:val="auto"/>
          <w:lang w:val="es-ES"/>
        </w:rPr>
        <w:t>&lt;0}</w:t>
      </w:r>
      <w:r w:rsidRPr="00A32F29">
        <w:rPr>
          <w:i/>
          <w:lang w:val="es-ES"/>
        </w:rPr>
        <w:t xml:space="preserve"> </w:t>
      </w:r>
      <w:r w:rsidRPr="00A32F29">
        <w:rPr>
          <w:rStyle w:val="tw4winMark"/>
          <w:color w:val="auto"/>
          <w:lang w:val="es-ES"/>
        </w:rPr>
        <w:t>{0&gt;</w:t>
      </w:r>
      <w:r w:rsidRPr="00A32F29">
        <w:rPr>
          <w:i/>
          <w:noProof/>
          <w:vanish/>
          <w:lang w:val="es-ES"/>
        </w:rPr>
        <w:t>October 2014.</w:t>
      </w:r>
      <w:r w:rsidRPr="00A32F29">
        <w:rPr>
          <w:rStyle w:val="tw4winMark"/>
          <w:color w:val="auto"/>
          <w:lang w:val="es-ES"/>
        </w:rPr>
        <w:t>&lt;}0{&gt;</w:t>
      </w:r>
      <w:r w:rsidR="00A32F29" w:rsidRPr="00A32F29">
        <w:rPr>
          <w:i/>
          <w:lang w:val="es-ES"/>
        </w:rPr>
        <w:t>Octubre de 2014</w:t>
      </w:r>
      <w:r w:rsidRPr="00A32F29">
        <w:rPr>
          <w:rStyle w:val="tw4winMark"/>
          <w:color w:val="auto"/>
          <w:lang w:val="es-ES"/>
        </w:rPr>
        <w:t>&lt;0}</w:t>
      </w:r>
      <w:r w:rsidRPr="00A32F29">
        <w:rPr>
          <w:i/>
        </w:rPr>
        <w:t xml:space="preserve">. </w:t>
      </w:r>
      <w:hyperlink r:id="rId10" w:history="1">
        <w:r w:rsidRPr="003011F9">
          <w:rPr>
            <w:rStyle w:val="Hyperlink"/>
            <w:i/>
          </w:rPr>
          <w:t>www.mdcourts.gov/mdatjc</w:t>
        </w:r>
      </w:hyperlink>
      <w:r w:rsidRPr="003011F9">
        <w:rPr>
          <w:i/>
        </w:rPr>
        <w:t xml:space="preserve">. </w:t>
      </w:r>
    </w:p>
    <w:sectPr w:rsidR="00DD0758" w:rsidRPr="003011F9" w:rsidSect="00941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E63C6"/>
    <w:multiLevelType w:val="hybridMultilevel"/>
    <w:tmpl w:val="C13A66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10F22EC"/>
    <w:multiLevelType w:val="hybridMultilevel"/>
    <w:tmpl w:val="F99426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69"/>
    <w:rsid w:val="0001348A"/>
    <w:rsid w:val="00017FA8"/>
    <w:rsid w:val="00057DD8"/>
    <w:rsid w:val="000D4D06"/>
    <w:rsid w:val="001F30BF"/>
    <w:rsid w:val="00267544"/>
    <w:rsid w:val="00277394"/>
    <w:rsid w:val="002A5CF9"/>
    <w:rsid w:val="002B5AC9"/>
    <w:rsid w:val="002C708B"/>
    <w:rsid w:val="002D605D"/>
    <w:rsid w:val="003011F9"/>
    <w:rsid w:val="003238E0"/>
    <w:rsid w:val="00384CB1"/>
    <w:rsid w:val="003A6327"/>
    <w:rsid w:val="003E7AD4"/>
    <w:rsid w:val="00486804"/>
    <w:rsid w:val="004D10C6"/>
    <w:rsid w:val="004F189D"/>
    <w:rsid w:val="005503EE"/>
    <w:rsid w:val="005E6703"/>
    <w:rsid w:val="0062397D"/>
    <w:rsid w:val="006502EE"/>
    <w:rsid w:val="00663BC8"/>
    <w:rsid w:val="00680AA8"/>
    <w:rsid w:val="006A362B"/>
    <w:rsid w:val="00700761"/>
    <w:rsid w:val="00724969"/>
    <w:rsid w:val="00771FFE"/>
    <w:rsid w:val="008629C1"/>
    <w:rsid w:val="00865755"/>
    <w:rsid w:val="00880B07"/>
    <w:rsid w:val="00905276"/>
    <w:rsid w:val="00935FEB"/>
    <w:rsid w:val="00941DD9"/>
    <w:rsid w:val="009542A4"/>
    <w:rsid w:val="00970FC1"/>
    <w:rsid w:val="00987DED"/>
    <w:rsid w:val="009F0B20"/>
    <w:rsid w:val="00A251F4"/>
    <w:rsid w:val="00A32F29"/>
    <w:rsid w:val="00A4349F"/>
    <w:rsid w:val="00A63A41"/>
    <w:rsid w:val="00AA01DF"/>
    <w:rsid w:val="00AA52B7"/>
    <w:rsid w:val="00AC69C7"/>
    <w:rsid w:val="00B4638D"/>
    <w:rsid w:val="00B64E6E"/>
    <w:rsid w:val="00B95F4F"/>
    <w:rsid w:val="00BB6CC0"/>
    <w:rsid w:val="00BD3A21"/>
    <w:rsid w:val="00BE2BBF"/>
    <w:rsid w:val="00C21A9F"/>
    <w:rsid w:val="00C32F5E"/>
    <w:rsid w:val="00C40337"/>
    <w:rsid w:val="00C64CEC"/>
    <w:rsid w:val="00C82473"/>
    <w:rsid w:val="00C976E9"/>
    <w:rsid w:val="00CB6DDF"/>
    <w:rsid w:val="00D015C0"/>
    <w:rsid w:val="00D40F02"/>
    <w:rsid w:val="00D529C1"/>
    <w:rsid w:val="00D74581"/>
    <w:rsid w:val="00DD0758"/>
    <w:rsid w:val="00E05730"/>
    <w:rsid w:val="00E317F4"/>
    <w:rsid w:val="00ED1066"/>
    <w:rsid w:val="00F63371"/>
    <w:rsid w:val="00FB659C"/>
    <w:rsid w:val="00FD53BA"/>
    <w:rsid w:val="00FF23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5CE37FC-F7F0-4632-9235-78039483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D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11F9"/>
    <w:rPr>
      <w:rFonts w:cs="Times New Roman"/>
      <w:color w:val="0000FF"/>
      <w:u w:val="single"/>
    </w:rPr>
  </w:style>
  <w:style w:type="paragraph" w:styleId="BalloonText">
    <w:name w:val="Balloon Text"/>
    <w:basedOn w:val="Normal"/>
    <w:link w:val="BalloonTextChar"/>
    <w:uiPriority w:val="99"/>
    <w:semiHidden/>
    <w:rsid w:val="00B46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4638D"/>
    <w:rPr>
      <w:rFonts w:ascii="Segoe UI" w:hAnsi="Segoe UI" w:cs="Segoe UI"/>
      <w:sz w:val="18"/>
      <w:szCs w:val="18"/>
    </w:rPr>
  </w:style>
  <w:style w:type="paragraph" w:styleId="ListParagraph">
    <w:name w:val="List Paragraph"/>
    <w:basedOn w:val="Normal"/>
    <w:uiPriority w:val="99"/>
    <w:qFormat/>
    <w:rsid w:val="00880B07"/>
    <w:pPr>
      <w:ind w:left="720"/>
      <w:contextualSpacing/>
    </w:pPr>
  </w:style>
  <w:style w:type="character" w:customStyle="1" w:styleId="A7">
    <w:name w:val="A7"/>
    <w:uiPriority w:val="99"/>
    <w:rsid w:val="00A4349F"/>
    <w:rPr>
      <w:b/>
      <w:color w:val="auto"/>
      <w:sz w:val="44"/>
    </w:rPr>
  </w:style>
  <w:style w:type="character" w:customStyle="1" w:styleId="tw4winMark">
    <w:name w:val="tw4winMark"/>
    <w:uiPriority w:val="99"/>
    <w:rsid w:val="006502EE"/>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oples-law.org" TargetMode="External"/><Relationship Id="rId3" Type="http://schemas.openxmlformats.org/officeDocument/2006/relationships/settings" Target="settings.xml"/><Relationship Id="rId7" Type="http://schemas.openxmlformats.org/officeDocument/2006/relationships/hyperlink" Target="http://www.mdcourts.gov/lawlib/researchtools/sourcesmdlaw.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courts.gov/courtforms" TargetMode="External"/><Relationship Id="rId11" Type="http://schemas.openxmlformats.org/officeDocument/2006/relationships/fontTable" Target="fontTable.xml"/><Relationship Id="rId5" Type="http://schemas.openxmlformats.org/officeDocument/2006/relationships/hyperlink" Target="http://www.mdcourts.gov/courtrecords" TargetMode="External"/><Relationship Id="rId10" Type="http://schemas.openxmlformats.org/officeDocument/2006/relationships/hyperlink" Target="http://www.mdcourts.gov/mdatjc" TargetMode="External"/><Relationship Id="rId4" Type="http://schemas.openxmlformats.org/officeDocument/2006/relationships/webSettings" Target="webSettings.xml"/><Relationship Id="rId9" Type="http://schemas.openxmlformats.org/officeDocument/2006/relationships/hyperlink" Target="http://www.mdcourts.gov/lawl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Expungement of Criminal Records</vt:lpstr>
    </vt:vector>
  </TitlesOfParts>
  <Company>MDJD</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Expungement of Criminal Records</dc:title>
  <dc:creator>Allison Parker</dc:creator>
  <cp:lastModifiedBy>Pamela Ortiz</cp:lastModifiedBy>
  <cp:revision>2</cp:revision>
  <cp:lastPrinted>2012-12-10T18:55:00Z</cp:lastPrinted>
  <dcterms:created xsi:type="dcterms:W3CDTF">2014-10-10T18:10:00Z</dcterms:created>
  <dcterms:modified xsi:type="dcterms:W3CDTF">2014-10-10T18:10:00Z</dcterms:modified>
</cp:coreProperties>
</file>