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06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9917"/>
      </w:tblGrid>
      <w:tr w:rsidR="009604A2" w:rsidTr="00EE1E29">
        <w:trPr>
          <w:trHeight w:val="5985"/>
        </w:trPr>
        <w:tc>
          <w:tcPr>
            <w:tcW w:w="720" w:type="dxa"/>
            <w:shd w:val="clear" w:color="auto" w:fill="auto"/>
          </w:tcPr>
          <w:p w:rsidR="009604A2" w:rsidRDefault="009604A2" w:rsidP="00EE1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604A2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9917" w:type="dxa"/>
          </w:tcPr>
          <w:p w:rsidR="009604A2" w:rsidRPr="00690152" w:rsidRDefault="009604A2" w:rsidP="00EE1E29">
            <w:pPr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90152">
              <w:rPr>
                <w:rFonts w:ascii="Times New Roman" w:hAnsi="Times New Roman" w:cs="Times New Roman"/>
              </w:rPr>
              <w:t>.</w:t>
            </w:r>
            <w:r w:rsidRPr="00690152">
              <w:rPr>
                <w:rFonts w:ascii="Times New Roman" w:hAnsi="Times New Roman" w:cs="Times New Roman"/>
              </w:rPr>
              <w:tab/>
            </w:r>
            <w:r w:rsidRPr="00690152">
              <w:rPr>
                <w:rFonts w:ascii="Times New Roman" w:hAnsi="Times New Roman" w:cs="Times New Roman"/>
                <w:b/>
                <w:u w:val="single"/>
              </w:rPr>
              <w:t>STATEMENT OF PROFESSIONAL QUALIFICATIONS</w:t>
            </w:r>
          </w:p>
          <w:p w:rsidR="009604A2" w:rsidRPr="00690152" w:rsidRDefault="009604A2" w:rsidP="00EE1E29">
            <w:pPr>
              <w:ind w:left="67"/>
              <w:jc w:val="both"/>
              <w:rPr>
                <w:rFonts w:ascii="Times New Roman" w:hAnsi="Times New Roman" w:cs="Times New Roman"/>
              </w:rPr>
            </w:pPr>
            <w:r w:rsidRPr="00690152">
              <w:rPr>
                <w:rFonts w:ascii="Times New Roman" w:hAnsi="Times New Roman" w:cs="Times New Roman"/>
              </w:rPr>
              <w:tab/>
            </w:r>
            <w:r w:rsidR="002970F0">
              <w:rPr>
                <w:rFonts w:ascii="Times New Roman" w:hAnsi="Times New Roman" w:cs="Times New Roman"/>
              </w:rPr>
              <w:t>A</w:t>
            </w:r>
            <w:r w:rsidRPr="00690152">
              <w:rPr>
                <w:rFonts w:ascii="Times New Roman" w:hAnsi="Times New Roman" w:cs="Times New Roman"/>
              </w:rPr>
              <w:t xml:space="preserve"> hard copy, signed statement detailing their professional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0152">
              <w:rPr>
                <w:rFonts w:ascii="Times New Roman" w:hAnsi="Times New Roman" w:cs="Times New Roman"/>
              </w:rPr>
              <w:t xml:space="preserve">qualifications and averring that those qualifications meet the requirements of Maryland Rules 19-212(b), (c), and (d). </w:t>
            </w:r>
          </w:p>
          <w:p w:rsidR="009604A2" w:rsidRPr="00690152" w:rsidRDefault="009604A2" w:rsidP="00EE1E29">
            <w:pPr>
              <w:ind w:left="172" w:firstLine="75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690152">
              <w:rPr>
                <w:rFonts w:ascii="Times New Roman" w:hAnsi="Times New Roman" w:cs="Times New Roman"/>
                <w:i/>
                <w:sz w:val="18"/>
              </w:rPr>
              <w:t xml:space="preserve">Tips </w:t>
            </w:r>
            <w:r>
              <w:rPr>
                <w:rFonts w:ascii="Times New Roman" w:hAnsi="Times New Roman" w:cs="Times New Roman"/>
                <w:i/>
                <w:sz w:val="18"/>
              </w:rPr>
              <w:t>for</w:t>
            </w:r>
            <w:r w:rsidRPr="00690152">
              <w:rPr>
                <w:rFonts w:ascii="Times New Roman" w:hAnsi="Times New Roman" w:cs="Times New Roman"/>
                <w:i/>
                <w:sz w:val="18"/>
              </w:rPr>
              <w:t xml:space="preserve"> drafting a Statement of Professional Qualifications:</w:t>
            </w:r>
          </w:p>
          <w:p w:rsidR="009604A2" w:rsidRPr="00690152" w:rsidRDefault="009604A2" w:rsidP="00EE1E29">
            <w:pPr>
              <w:pStyle w:val="ListParagraph"/>
              <w:numPr>
                <w:ilvl w:val="0"/>
                <w:numId w:val="1"/>
              </w:numPr>
              <w:spacing w:after="120"/>
              <w:ind w:left="432" w:hanging="187"/>
              <w:contextualSpacing w:val="0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690152">
              <w:rPr>
                <w:rFonts w:ascii="Times New Roman" w:hAnsi="Times New Roman" w:cs="Times New Roman"/>
                <w:i/>
                <w:sz w:val="18"/>
              </w:rPr>
              <w:t>In order to facilitate the Board’s determination of eligibility pursuant to Maryland Rule 19-213(d) and (g), the Statement of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690152">
              <w:rPr>
                <w:rFonts w:ascii="Times New Roman" w:hAnsi="Times New Roman" w:cs="Times New Roman"/>
                <w:i/>
                <w:sz w:val="18"/>
              </w:rPr>
              <w:t>Professional Qualifications should be organized in chronological order beginning with the date of the applicant’s first Bar admission and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690152">
              <w:rPr>
                <w:rFonts w:ascii="Times New Roman" w:hAnsi="Times New Roman" w:cs="Times New Roman"/>
                <w:i/>
                <w:sz w:val="18"/>
              </w:rPr>
              <w:t xml:space="preserve">first qualifying professional experience and ending with the most recent qualifying professional experience. </w:t>
            </w:r>
          </w:p>
          <w:p w:rsidR="009604A2" w:rsidRPr="00690152" w:rsidRDefault="009604A2" w:rsidP="00EE1E29">
            <w:pPr>
              <w:pStyle w:val="ListParagraph"/>
              <w:numPr>
                <w:ilvl w:val="0"/>
                <w:numId w:val="1"/>
              </w:numPr>
              <w:spacing w:after="120"/>
              <w:ind w:left="432" w:hanging="187"/>
              <w:contextualSpacing w:val="0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690152">
              <w:rPr>
                <w:rFonts w:ascii="Times New Roman" w:hAnsi="Times New Roman" w:cs="Times New Roman"/>
                <w:i/>
                <w:sz w:val="18"/>
              </w:rPr>
              <w:t xml:space="preserve">The Statement should aver whether each admission to a State Bar was by examination, by motion, or by diploma privilege. </w:t>
            </w:r>
          </w:p>
          <w:p w:rsidR="009604A2" w:rsidRPr="00690152" w:rsidRDefault="009604A2" w:rsidP="00EE1E29">
            <w:pPr>
              <w:pStyle w:val="ListParagraph"/>
              <w:numPr>
                <w:ilvl w:val="0"/>
                <w:numId w:val="1"/>
              </w:numPr>
              <w:spacing w:after="120"/>
              <w:ind w:left="432" w:hanging="187"/>
              <w:contextualSpacing w:val="0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690152">
              <w:rPr>
                <w:rFonts w:ascii="Times New Roman" w:hAnsi="Times New Roman" w:cs="Times New Roman"/>
                <w:i/>
                <w:sz w:val="18"/>
              </w:rPr>
              <w:t>If averring professional experience as a “practitioner of law,” as to each period of legal employment include sufficient detail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690152">
              <w:rPr>
                <w:rFonts w:ascii="Times New Roman" w:hAnsi="Times New Roman" w:cs="Times New Roman"/>
                <w:i/>
                <w:sz w:val="18"/>
              </w:rPr>
              <w:t>pursuant to Maryland Rule 19-212(c)(2) on the requirements and duties of the position to allow the Board to determine that such employment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690152">
              <w:rPr>
                <w:rFonts w:ascii="Times New Roman" w:hAnsi="Times New Roman" w:cs="Times New Roman"/>
                <w:i/>
                <w:sz w:val="18"/>
              </w:rPr>
              <w:t>constituted the “authorized practice of law.”</w:t>
            </w:r>
          </w:p>
          <w:p w:rsidR="009604A2" w:rsidRPr="00690152" w:rsidRDefault="009604A2" w:rsidP="00EE1E29">
            <w:pPr>
              <w:pStyle w:val="ListParagraph"/>
              <w:numPr>
                <w:ilvl w:val="0"/>
                <w:numId w:val="1"/>
              </w:numPr>
              <w:spacing w:after="120"/>
              <w:ind w:left="432" w:hanging="187"/>
              <w:contextualSpacing w:val="0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690152">
              <w:rPr>
                <w:rFonts w:ascii="Times New Roman" w:hAnsi="Times New Roman" w:cs="Times New Roman"/>
                <w:i/>
                <w:sz w:val="18"/>
              </w:rPr>
              <w:t xml:space="preserve">If averring professional experience as a practitioner of law while physically working in a State where the applicant </w:t>
            </w:r>
            <w:r>
              <w:rPr>
                <w:rFonts w:ascii="Times New Roman" w:hAnsi="Times New Roman" w:cs="Times New Roman"/>
                <w:i/>
                <w:sz w:val="18"/>
              </w:rPr>
              <w:t>was or is</w:t>
            </w:r>
            <w:r w:rsidRPr="00690152">
              <w:rPr>
                <w:rFonts w:ascii="Times New Roman" w:hAnsi="Times New Roman" w:cs="Times New Roman"/>
                <w:i/>
                <w:sz w:val="18"/>
              </w:rPr>
              <w:t xml:space="preserve"> not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690152">
              <w:rPr>
                <w:rFonts w:ascii="Times New Roman" w:hAnsi="Times New Roman" w:cs="Times New Roman"/>
                <w:i/>
                <w:sz w:val="18"/>
              </w:rPr>
              <w:t>admitted to practice law, the Statement should provide details on the legal authority allowing the applicant to claim that experience as the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690152">
              <w:rPr>
                <w:rFonts w:ascii="Times New Roman" w:hAnsi="Times New Roman" w:cs="Times New Roman"/>
                <w:i/>
                <w:sz w:val="18"/>
              </w:rPr>
              <w:t>“authorized practice of law.”</w:t>
            </w:r>
          </w:p>
          <w:p w:rsidR="009604A2" w:rsidRPr="00690152" w:rsidRDefault="009604A2" w:rsidP="00EE1E29">
            <w:pPr>
              <w:pStyle w:val="ListParagraph"/>
              <w:numPr>
                <w:ilvl w:val="0"/>
                <w:numId w:val="1"/>
              </w:numPr>
              <w:spacing w:after="120"/>
              <w:ind w:left="432" w:hanging="187"/>
              <w:contextualSpacing w:val="0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690152">
              <w:rPr>
                <w:rFonts w:ascii="Times New Roman" w:hAnsi="Times New Roman" w:cs="Times New Roman"/>
                <w:i/>
                <w:sz w:val="18"/>
              </w:rPr>
              <w:t>For purposes of calculating the duration of professional experience, the applicant must demonstrate full-time employment in 60months (5 years) out of the most-recent 120 months (10 years) OR for a total of 120 months (10 years) irrespective of recency.</w:t>
            </w:r>
          </w:p>
          <w:p w:rsidR="009604A2" w:rsidRPr="00C824AF" w:rsidRDefault="009604A2" w:rsidP="00EE1E29">
            <w:pPr>
              <w:pStyle w:val="ListParagraph"/>
              <w:numPr>
                <w:ilvl w:val="0"/>
                <w:numId w:val="1"/>
              </w:numPr>
              <w:spacing w:after="120"/>
              <w:ind w:left="432" w:hanging="18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90152">
              <w:rPr>
                <w:rFonts w:ascii="Times New Roman" w:hAnsi="Times New Roman" w:cs="Times New Roman"/>
                <w:i/>
                <w:sz w:val="18"/>
              </w:rPr>
              <w:t>With regard to judicial clerkships and other employment commencing after graduation from law school but prior to the applicant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690152">
              <w:rPr>
                <w:rFonts w:ascii="Times New Roman" w:hAnsi="Times New Roman" w:cs="Times New Roman"/>
                <w:i/>
                <w:sz w:val="18"/>
              </w:rPr>
              <w:t>becoming admitted to any State Bar and continuing after admission to the Bar, only the portion of the employment occurring after the first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690152">
              <w:rPr>
                <w:rFonts w:ascii="Times New Roman" w:hAnsi="Times New Roman" w:cs="Times New Roman"/>
                <w:i/>
                <w:sz w:val="18"/>
              </w:rPr>
              <w:t>Bar admission may be counted as qualifying professional experience even if the job duties did not change following Bar admission. (E.g.,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690152">
              <w:rPr>
                <w:rFonts w:ascii="Times New Roman" w:hAnsi="Times New Roman" w:cs="Times New Roman"/>
                <w:i/>
                <w:sz w:val="18"/>
              </w:rPr>
              <w:t xml:space="preserve">judicial clerkship begins </w:t>
            </w:r>
            <w:r>
              <w:rPr>
                <w:rFonts w:ascii="Times New Roman" w:hAnsi="Times New Roman" w:cs="Times New Roman"/>
                <w:i/>
                <w:sz w:val="18"/>
              </w:rPr>
              <w:t>i</w:t>
            </w:r>
            <w:r w:rsidRPr="00690152">
              <w:rPr>
                <w:rFonts w:ascii="Times New Roman" w:hAnsi="Times New Roman" w:cs="Times New Roman"/>
                <w:i/>
                <w:sz w:val="18"/>
              </w:rPr>
              <w:t>n September, first Bar admission occurs in November, judicial clerkship ends the following August; 10 months of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690152">
              <w:rPr>
                <w:rFonts w:ascii="Times New Roman" w:hAnsi="Times New Roman" w:cs="Times New Roman"/>
                <w:i/>
                <w:sz w:val="18"/>
              </w:rPr>
              <w:t>qualifying professional experience are counted.)</w:t>
            </w:r>
          </w:p>
          <w:p w:rsidR="00C824AF" w:rsidRDefault="00C824AF" w:rsidP="00C824AF">
            <w:pPr>
              <w:pStyle w:val="ListParagraph"/>
              <w:numPr>
                <w:ilvl w:val="0"/>
                <w:numId w:val="1"/>
              </w:numPr>
              <w:spacing w:after="120"/>
              <w:ind w:left="432" w:hanging="187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The applicant’s statement should conclude with a brief description of his/her intended practice if admitted in Maryland.</w:t>
            </w:r>
          </w:p>
        </w:tc>
      </w:tr>
      <w:tr w:rsidR="009604A2" w:rsidTr="00EE1E29">
        <w:trPr>
          <w:trHeight w:val="1322"/>
        </w:trPr>
        <w:tc>
          <w:tcPr>
            <w:tcW w:w="720" w:type="dxa"/>
            <w:shd w:val="clear" w:color="auto" w:fill="auto"/>
          </w:tcPr>
          <w:p w:rsidR="009604A2" w:rsidRDefault="009604A2" w:rsidP="009604A2">
            <w:pPr>
              <w:jc w:val="center"/>
              <w:rPr>
                <w:rFonts w:ascii="Times New Roman" w:hAnsi="Times New Roman" w:cs="Times New Roman"/>
              </w:rPr>
            </w:pPr>
            <w:r w:rsidRPr="009604A2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9917" w:type="dxa"/>
          </w:tcPr>
          <w:p w:rsidR="009604A2" w:rsidRPr="00690152" w:rsidRDefault="009604A2" w:rsidP="00EE1E29">
            <w:pPr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0152">
              <w:rPr>
                <w:rFonts w:ascii="Times New Roman" w:hAnsi="Times New Roman" w:cs="Times New Roman"/>
              </w:rPr>
              <w:t>.</w:t>
            </w:r>
            <w:r w:rsidRPr="00690152">
              <w:rPr>
                <w:rFonts w:ascii="Times New Roman" w:hAnsi="Times New Roman" w:cs="Times New Roman"/>
              </w:rPr>
              <w:tab/>
            </w:r>
            <w:r w:rsidRPr="00690152">
              <w:rPr>
                <w:rFonts w:ascii="Times New Roman" w:hAnsi="Times New Roman" w:cs="Times New Roman"/>
                <w:b/>
                <w:u w:val="single"/>
              </w:rPr>
              <w:t>CERTIFICATE(S) OF GOOD STANDING</w:t>
            </w:r>
          </w:p>
          <w:p w:rsidR="009604A2" w:rsidRDefault="009604A2" w:rsidP="00EE1E29">
            <w:pPr>
              <w:ind w:left="67"/>
              <w:jc w:val="both"/>
              <w:rPr>
                <w:rFonts w:ascii="Times New Roman" w:hAnsi="Times New Roman" w:cs="Times New Roman"/>
              </w:rPr>
            </w:pPr>
            <w:r w:rsidRPr="00690152">
              <w:rPr>
                <w:rFonts w:ascii="Times New Roman" w:hAnsi="Times New Roman" w:cs="Times New Roman"/>
              </w:rPr>
              <w:tab/>
            </w:r>
            <w:r w:rsidR="007F4BBD">
              <w:rPr>
                <w:rFonts w:ascii="Times New Roman" w:hAnsi="Times New Roman" w:cs="Times New Roman"/>
              </w:rPr>
              <w:t>A</w:t>
            </w:r>
            <w:r w:rsidRPr="00690152">
              <w:rPr>
                <w:rFonts w:ascii="Times New Roman" w:hAnsi="Times New Roman" w:cs="Times New Roman"/>
              </w:rPr>
              <w:t>n original Certificate of Good Standing issued by the highest state court in each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0152">
              <w:rPr>
                <w:rFonts w:ascii="Times New Roman" w:hAnsi="Times New Roman" w:cs="Times New Roman"/>
              </w:rPr>
              <w:t>jurisdiction where admitted. Each Certificate of Good Standing shall have been issued within three (3) months immediately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0152">
              <w:rPr>
                <w:rFonts w:ascii="Times New Roman" w:hAnsi="Times New Roman" w:cs="Times New Roman"/>
              </w:rPr>
              <w:t>preceding the date on which the applicant files the Petition packet.</w:t>
            </w:r>
          </w:p>
        </w:tc>
      </w:tr>
      <w:tr w:rsidR="009604A2" w:rsidTr="00EE1E29">
        <w:trPr>
          <w:trHeight w:val="1730"/>
        </w:trPr>
        <w:tc>
          <w:tcPr>
            <w:tcW w:w="720" w:type="dxa"/>
            <w:shd w:val="clear" w:color="auto" w:fill="auto"/>
          </w:tcPr>
          <w:p w:rsidR="009604A2" w:rsidRPr="00690152" w:rsidRDefault="009604A2" w:rsidP="009604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04A2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9917" w:type="dxa"/>
          </w:tcPr>
          <w:p w:rsidR="009604A2" w:rsidRDefault="009604A2" w:rsidP="00EE1E29">
            <w:pPr>
              <w:ind w:left="67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90152">
              <w:rPr>
                <w:rFonts w:ascii="Times New Roman" w:hAnsi="Times New Roman" w:cs="Times New Roman"/>
                <w:szCs w:val="24"/>
              </w:rPr>
              <w:t>3.</w:t>
            </w:r>
            <w:r w:rsidRPr="00690152">
              <w:rPr>
                <w:rFonts w:ascii="Times New Roman" w:hAnsi="Times New Roman" w:cs="Times New Roman"/>
                <w:szCs w:val="24"/>
              </w:rPr>
              <w:tab/>
            </w:r>
            <w:r w:rsidRPr="00690152">
              <w:rPr>
                <w:rFonts w:ascii="Times New Roman" w:hAnsi="Times New Roman" w:cs="Times New Roman"/>
                <w:b/>
                <w:szCs w:val="24"/>
                <w:u w:val="single"/>
              </w:rPr>
              <w:t>NATIONAL CONFERENCE OF BAR EXAMINERS CHARACTER QUESTIONNAIRE</w:t>
            </w:r>
          </w:p>
          <w:p w:rsidR="009604A2" w:rsidRDefault="009604A2" w:rsidP="00EE1E29">
            <w:pPr>
              <w:ind w:left="67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  <w:r w:rsidR="007F4BBD">
              <w:rPr>
                <w:rFonts w:ascii="Times New Roman" w:hAnsi="Times New Roman" w:cs="Times New Roman"/>
                <w:szCs w:val="24"/>
              </w:rPr>
              <w:t xml:space="preserve">An </w:t>
            </w:r>
            <w:r w:rsidR="007F4BBD" w:rsidRPr="007F4BBD">
              <w:rPr>
                <w:rFonts w:ascii="Times New Roman" w:hAnsi="Times New Roman" w:cs="Times New Roman"/>
                <w:szCs w:val="24"/>
              </w:rPr>
              <w:t>NCBE</w:t>
            </w:r>
            <w:r w:rsidRPr="007F4B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F4BBD" w:rsidRPr="007F4BBD">
              <w:rPr>
                <w:rFonts w:ascii="Times New Roman" w:hAnsi="Times New Roman" w:cs="Times New Roman"/>
              </w:rPr>
              <w:t>Character Report Application</w:t>
            </w:r>
            <w:r w:rsidRPr="00690152">
              <w:rPr>
                <w:rFonts w:ascii="Times New Roman" w:hAnsi="Times New Roman" w:cs="Times New Roman"/>
                <w:szCs w:val="24"/>
              </w:rPr>
              <w:t xml:space="preserve">. The character </w:t>
            </w:r>
            <w:r w:rsidR="007F4BBD">
              <w:rPr>
                <w:rFonts w:ascii="Times New Roman" w:hAnsi="Times New Roman" w:cs="Times New Roman"/>
                <w:szCs w:val="24"/>
              </w:rPr>
              <w:t>report application</w:t>
            </w:r>
            <w:r w:rsidRPr="00690152">
              <w:rPr>
                <w:rFonts w:ascii="Times New Roman" w:hAnsi="Times New Roman" w:cs="Times New Roman"/>
                <w:szCs w:val="24"/>
              </w:rPr>
              <w:t xml:space="preserve"> is accessed by navigating to </w:t>
            </w:r>
            <w:hyperlink r:id="rId7" w:history="1">
              <w:r w:rsidRPr="00690152">
                <w:rPr>
                  <w:rStyle w:val="Hyperlink"/>
                  <w:rFonts w:ascii="Times New Roman" w:hAnsi="Times New Roman" w:cs="Times New Roman"/>
                  <w:szCs w:val="24"/>
                </w:rPr>
                <w:t>www.ncbex.org</w:t>
              </w:r>
            </w:hyperlink>
            <w:r w:rsidRPr="00690152">
              <w:rPr>
                <w:rFonts w:ascii="Times New Roman" w:hAnsi="Times New Roman" w:cs="Times New Roman"/>
                <w:szCs w:val="24"/>
              </w:rPr>
              <w:t>. Click on the “NCBE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90152">
              <w:rPr>
                <w:rFonts w:ascii="Times New Roman" w:hAnsi="Times New Roman" w:cs="Times New Roman"/>
                <w:szCs w:val="24"/>
              </w:rPr>
              <w:t xml:space="preserve">Account” button and create an account.  Navigate to “Character &amp; Fitness Applications” and complete the questionnaire. </w:t>
            </w:r>
          </w:p>
          <w:p w:rsidR="009604A2" w:rsidRDefault="009604A2" w:rsidP="00EE1E29">
            <w:pPr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  <w:r w:rsidRPr="00690152">
              <w:rPr>
                <w:rFonts w:ascii="Times New Roman" w:hAnsi="Times New Roman" w:cs="Times New Roman"/>
                <w:szCs w:val="24"/>
              </w:rPr>
              <w:t xml:space="preserve">Print and sign the Character </w:t>
            </w:r>
            <w:r w:rsidR="007F4BBD">
              <w:rPr>
                <w:rFonts w:ascii="Times New Roman" w:hAnsi="Times New Roman" w:cs="Times New Roman"/>
                <w:szCs w:val="24"/>
              </w:rPr>
              <w:t>Report Application</w:t>
            </w:r>
            <w:r w:rsidRPr="00690152">
              <w:rPr>
                <w:rFonts w:ascii="Times New Roman" w:hAnsi="Times New Roman" w:cs="Times New Roman"/>
                <w:szCs w:val="24"/>
              </w:rPr>
              <w:t xml:space="preserve"> and 3 original copies of the Authorization and Release pages. File the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90152">
              <w:rPr>
                <w:rFonts w:ascii="Times New Roman" w:hAnsi="Times New Roman" w:cs="Times New Roman"/>
                <w:szCs w:val="24"/>
              </w:rPr>
              <w:t>signed hard copies with your Petition.</w:t>
            </w:r>
          </w:p>
        </w:tc>
      </w:tr>
      <w:tr w:rsidR="009604A2" w:rsidTr="00EE1E29">
        <w:trPr>
          <w:trHeight w:val="2609"/>
        </w:trPr>
        <w:tc>
          <w:tcPr>
            <w:tcW w:w="720" w:type="dxa"/>
            <w:shd w:val="clear" w:color="auto" w:fill="auto"/>
          </w:tcPr>
          <w:p w:rsidR="009604A2" w:rsidRPr="00690152" w:rsidRDefault="009604A2" w:rsidP="009604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04A2">
              <w:rPr>
                <w:rFonts w:ascii="Times New Roman" w:hAnsi="Times New Roman" w:cs="Times New Roman"/>
                <w:sz w:val="56"/>
              </w:rPr>
              <w:t>□</w:t>
            </w:r>
          </w:p>
        </w:tc>
        <w:tc>
          <w:tcPr>
            <w:tcW w:w="9917" w:type="dxa"/>
          </w:tcPr>
          <w:p w:rsidR="009604A2" w:rsidRPr="00690152" w:rsidRDefault="009604A2" w:rsidP="009604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90152">
              <w:rPr>
                <w:rFonts w:ascii="Times New Roman" w:hAnsi="Times New Roman" w:cs="Times New Roman"/>
                <w:szCs w:val="24"/>
              </w:rPr>
              <w:t>4.</w:t>
            </w:r>
            <w:r w:rsidRPr="00690152">
              <w:rPr>
                <w:rFonts w:ascii="Times New Roman" w:hAnsi="Times New Roman" w:cs="Times New Roman"/>
                <w:szCs w:val="24"/>
              </w:rPr>
              <w:tab/>
            </w:r>
            <w:r w:rsidRPr="00690152">
              <w:rPr>
                <w:rFonts w:ascii="Times New Roman" w:hAnsi="Times New Roman" w:cs="Times New Roman"/>
                <w:b/>
                <w:szCs w:val="24"/>
                <w:u w:val="single"/>
              </w:rPr>
              <w:t>THE APPLICABLE FEES</w:t>
            </w:r>
          </w:p>
          <w:p w:rsidR="007F4BBD" w:rsidRPr="007F4BBD" w:rsidRDefault="009604A2" w:rsidP="007F4BBD">
            <w:pPr>
              <w:pStyle w:val="ListParagraph"/>
              <w:numPr>
                <w:ilvl w:val="0"/>
                <w:numId w:val="2"/>
              </w:numPr>
              <w:spacing w:after="120"/>
              <w:ind w:left="871"/>
              <w:contextualSpacing w:val="0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7F4BBD">
              <w:rPr>
                <w:rFonts w:ascii="Times New Roman" w:hAnsi="Times New Roman" w:cs="Times New Roman"/>
                <w:szCs w:val="24"/>
              </w:rPr>
              <w:t>By an applicant who has never before filed a Petition of Out-of-State Attorney for Admission to the Bar of Maryland- $700 by check or money order payable to “State Board of Law Examiners” AND $</w:t>
            </w:r>
            <w:r w:rsidR="00E50EC8">
              <w:rPr>
                <w:rFonts w:ascii="Times New Roman" w:hAnsi="Times New Roman" w:cs="Times New Roman"/>
                <w:szCs w:val="24"/>
              </w:rPr>
              <w:t>500</w:t>
            </w:r>
            <w:r w:rsidRPr="007F4BBD">
              <w:rPr>
                <w:rFonts w:ascii="Times New Roman" w:hAnsi="Times New Roman" w:cs="Times New Roman"/>
                <w:szCs w:val="24"/>
              </w:rPr>
              <w:t xml:space="preserve"> payable to “National Conference of Bar Examiners.”</w:t>
            </w:r>
            <w:r w:rsidR="007F4BBD" w:rsidRPr="007F4BBD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7F4BBD">
              <w:rPr>
                <w:rFonts w:ascii="Times New Roman" w:hAnsi="Times New Roman" w:cs="Times New Roman"/>
                <w:szCs w:val="24"/>
              </w:rPr>
              <w:t>The $</w:t>
            </w:r>
            <w:r w:rsidR="00E50EC8">
              <w:rPr>
                <w:rFonts w:ascii="Times New Roman" w:hAnsi="Times New Roman" w:cs="Times New Roman"/>
                <w:szCs w:val="24"/>
              </w:rPr>
              <w:t>500</w:t>
            </w:r>
            <w:r w:rsidRPr="007F4B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F4BBD" w:rsidRPr="007F4BBD">
              <w:rPr>
                <w:rFonts w:ascii="Times New Roman" w:hAnsi="Times New Roman" w:cs="Times New Roman"/>
                <w:szCs w:val="24"/>
              </w:rPr>
              <w:t>fee</w:t>
            </w:r>
            <w:r w:rsidRPr="007F4BBD">
              <w:rPr>
                <w:rFonts w:ascii="Times New Roman" w:hAnsi="Times New Roman" w:cs="Times New Roman"/>
                <w:szCs w:val="24"/>
              </w:rPr>
              <w:t xml:space="preserve"> to NCBE can </w:t>
            </w:r>
            <w:r w:rsidR="007F4BBD" w:rsidRPr="007F4BBD">
              <w:rPr>
                <w:rFonts w:ascii="Times New Roman" w:hAnsi="Times New Roman" w:cs="Times New Roman"/>
                <w:szCs w:val="24"/>
              </w:rPr>
              <w:t>also be paid online.)</w:t>
            </w:r>
          </w:p>
          <w:p w:rsidR="009604A2" w:rsidRDefault="009604A2" w:rsidP="009604A2">
            <w:pPr>
              <w:pStyle w:val="ListParagraph"/>
              <w:numPr>
                <w:ilvl w:val="0"/>
                <w:numId w:val="2"/>
              </w:numPr>
              <w:ind w:left="8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By an applicant who has previously filed an OSA Petition, but who has withdrawn from the exam or failed the </w:t>
            </w:r>
            <w:r w:rsidRPr="00690152">
              <w:rPr>
                <w:rFonts w:ascii="Times New Roman" w:hAnsi="Times New Roman" w:cs="Times New Roman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szCs w:val="24"/>
              </w:rPr>
              <w:t>exam</w:t>
            </w:r>
            <w:r w:rsidRPr="00690152">
              <w:rPr>
                <w:rFonts w:ascii="Times New Roman" w:hAnsi="Times New Roman" w:cs="Times New Roman"/>
                <w:szCs w:val="24"/>
              </w:rPr>
              <w:t>- $250.00 by check money order to “State Board of Law Examiners</w:t>
            </w:r>
            <w:r w:rsidR="007F4BBD">
              <w:rPr>
                <w:rFonts w:ascii="Times New Roman" w:hAnsi="Times New Roman" w:cs="Times New Roman"/>
                <w:szCs w:val="24"/>
              </w:rPr>
              <w:t>.”</w:t>
            </w:r>
          </w:p>
        </w:tc>
      </w:tr>
    </w:tbl>
    <w:p w:rsidR="009604A2" w:rsidRDefault="009604A2" w:rsidP="00C824A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Petitioner’s Name: ____________________________________</w:t>
      </w:r>
      <w:r w:rsidR="00EE1E29">
        <w:rPr>
          <w:rFonts w:ascii="Times New Roman" w:hAnsi="Times New Roman" w:cs="Times New Roman"/>
          <w:szCs w:val="24"/>
        </w:rPr>
        <w:t>_________________</w:t>
      </w:r>
      <w:r>
        <w:rPr>
          <w:rFonts w:ascii="Times New Roman" w:hAnsi="Times New Roman" w:cs="Times New Roman"/>
          <w:szCs w:val="24"/>
        </w:rPr>
        <w:t>_  SSN Last Four: _____________</w:t>
      </w:r>
      <w:r w:rsidR="001E6D9F" w:rsidRPr="00690152">
        <w:rPr>
          <w:rFonts w:ascii="Times New Roman" w:hAnsi="Times New Roman" w:cs="Times New Roman"/>
          <w:szCs w:val="24"/>
        </w:rPr>
        <w:t xml:space="preserve"> </w:t>
      </w:r>
    </w:p>
    <w:p w:rsidR="002970F0" w:rsidRDefault="002970F0" w:rsidP="00C824A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970F0" w:rsidRDefault="002970F0" w:rsidP="00C824A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970F0">
        <w:rPr>
          <w:rFonts w:ascii="Times New Roman" w:hAnsi="Times New Roman" w:cs="Times New Roman"/>
          <w:b/>
          <w:sz w:val="28"/>
          <w:szCs w:val="24"/>
        </w:rPr>
        <w:t xml:space="preserve">FILE </w:t>
      </w:r>
      <w:r w:rsidR="007F4BBD">
        <w:rPr>
          <w:rFonts w:ascii="Times New Roman" w:hAnsi="Times New Roman" w:cs="Times New Roman"/>
          <w:b/>
          <w:sz w:val="28"/>
          <w:szCs w:val="24"/>
        </w:rPr>
        <w:t xml:space="preserve">THESE ITEMS </w:t>
      </w:r>
      <w:r w:rsidR="007F4BBD" w:rsidRPr="00546FBD">
        <w:rPr>
          <w:rFonts w:ascii="Times New Roman" w:hAnsi="Times New Roman" w:cs="Times New Roman"/>
          <w:b/>
          <w:sz w:val="28"/>
          <w:szCs w:val="24"/>
          <w:u w:val="single"/>
        </w:rPr>
        <w:t xml:space="preserve">ALONG </w:t>
      </w:r>
      <w:r w:rsidRPr="002970F0">
        <w:rPr>
          <w:rFonts w:ascii="Times New Roman" w:hAnsi="Times New Roman" w:cs="Times New Roman"/>
          <w:b/>
          <w:sz w:val="28"/>
          <w:szCs w:val="24"/>
          <w:u w:val="single"/>
        </w:rPr>
        <w:t>WITH</w:t>
      </w:r>
      <w:r w:rsidRPr="002970F0">
        <w:rPr>
          <w:rFonts w:ascii="Times New Roman" w:hAnsi="Times New Roman" w:cs="Times New Roman"/>
          <w:b/>
          <w:sz w:val="28"/>
          <w:szCs w:val="24"/>
        </w:rPr>
        <w:t xml:space="preserve"> THE PRINTED AND SIGNED PETITION:</w:t>
      </w:r>
    </w:p>
    <w:sectPr w:rsidR="002970F0" w:rsidSect="009604A2">
      <w:headerReference w:type="default" r:id="rId8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589" w:rsidRDefault="00145589" w:rsidP="00156163">
      <w:pPr>
        <w:spacing w:after="0" w:line="240" w:lineRule="auto"/>
      </w:pPr>
      <w:r>
        <w:separator/>
      </w:r>
    </w:p>
  </w:endnote>
  <w:endnote w:type="continuationSeparator" w:id="0">
    <w:p w:rsidR="00145589" w:rsidRDefault="00145589" w:rsidP="0015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589" w:rsidRDefault="00145589" w:rsidP="00156163">
      <w:pPr>
        <w:spacing w:after="0" w:line="240" w:lineRule="auto"/>
      </w:pPr>
      <w:r>
        <w:separator/>
      </w:r>
    </w:p>
  </w:footnote>
  <w:footnote w:type="continuationSeparator" w:id="0">
    <w:p w:rsidR="00145589" w:rsidRDefault="00145589" w:rsidP="0015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63" w:rsidRDefault="00156163" w:rsidP="00156163">
    <w:pPr>
      <w:pStyle w:val="Header"/>
      <w:jc w:val="center"/>
      <w:rPr>
        <w:rFonts w:ascii="Times New Roman" w:hAnsi="Times New Roman" w:cs="Times New Roman"/>
        <w:b/>
        <w:sz w:val="24"/>
        <w:u w:val="single"/>
      </w:rPr>
    </w:pPr>
    <w:r w:rsidRPr="00156163">
      <w:rPr>
        <w:rFonts w:ascii="Times New Roman" w:hAnsi="Times New Roman" w:cs="Times New Roman"/>
        <w:b/>
        <w:sz w:val="24"/>
        <w:u w:val="single"/>
      </w:rPr>
      <w:t>OSA PETITIONER’S</w:t>
    </w:r>
    <w:r w:rsidR="00025685">
      <w:rPr>
        <w:rFonts w:ascii="Times New Roman" w:hAnsi="Times New Roman" w:cs="Times New Roman"/>
        <w:b/>
        <w:sz w:val="24"/>
        <w:u w:val="single"/>
      </w:rPr>
      <w:t xml:space="preserve"> CHECK</w:t>
    </w:r>
    <w:r w:rsidRPr="00156163">
      <w:rPr>
        <w:rFonts w:ascii="Times New Roman" w:hAnsi="Times New Roman" w:cs="Times New Roman"/>
        <w:b/>
        <w:sz w:val="24"/>
        <w:u w:val="single"/>
      </w:rPr>
      <w:t>LIST OF REQUIRED ATTACHMENTS</w:t>
    </w:r>
  </w:p>
  <w:p w:rsidR="009604A2" w:rsidRPr="00156163" w:rsidRDefault="009604A2" w:rsidP="00156163">
    <w:pPr>
      <w:pStyle w:val="Header"/>
      <w:jc w:val="center"/>
      <w:rPr>
        <w:rFonts w:ascii="Times New Roman" w:hAnsi="Times New Roman" w:cs="Times New Roman"/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47BFD"/>
    <w:multiLevelType w:val="hybridMultilevel"/>
    <w:tmpl w:val="D0061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E72B4A"/>
    <w:multiLevelType w:val="hybridMultilevel"/>
    <w:tmpl w:val="85E2CEE8"/>
    <w:lvl w:ilvl="0" w:tplc="1ACC84CA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NDC3MDUxMbS0NDRX0lEKTi0uzszPAykwrgUAHv5J5CwAAAA="/>
  </w:docVars>
  <w:rsids>
    <w:rsidRoot w:val="00156163"/>
    <w:rsid w:val="00025685"/>
    <w:rsid w:val="00103096"/>
    <w:rsid w:val="00145589"/>
    <w:rsid w:val="001458A1"/>
    <w:rsid w:val="00156163"/>
    <w:rsid w:val="00175C60"/>
    <w:rsid w:val="001E6D9F"/>
    <w:rsid w:val="0029695B"/>
    <w:rsid w:val="002970F0"/>
    <w:rsid w:val="004A4ACD"/>
    <w:rsid w:val="00513C38"/>
    <w:rsid w:val="00546FBD"/>
    <w:rsid w:val="00610ADF"/>
    <w:rsid w:val="00690152"/>
    <w:rsid w:val="007F4BBD"/>
    <w:rsid w:val="009604A2"/>
    <w:rsid w:val="00C051E7"/>
    <w:rsid w:val="00C777A1"/>
    <w:rsid w:val="00C824AF"/>
    <w:rsid w:val="00D1539E"/>
    <w:rsid w:val="00E50EC8"/>
    <w:rsid w:val="00EE1E29"/>
    <w:rsid w:val="00FE6138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844BE-EC26-42A0-A858-9896AD3A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163"/>
  </w:style>
  <w:style w:type="paragraph" w:styleId="Footer">
    <w:name w:val="footer"/>
    <w:basedOn w:val="Normal"/>
    <w:link w:val="FooterChar"/>
    <w:uiPriority w:val="99"/>
    <w:unhideWhenUsed/>
    <w:rsid w:val="0015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163"/>
  </w:style>
  <w:style w:type="paragraph" w:styleId="ListParagraph">
    <w:name w:val="List Paragraph"/>
    <w:basedOn w:val="Normal"/>
    <w:uiPriority w:val="34"/>
    <w:qFormat/>
    <w:rsid w:val="00296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1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be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3236</Characters>
  <Application>Microsoft Office Word</Application>
  <DocSecurity>0</DocSecurity>
  <Lines>129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Shipley</dc:creator>
  <cp:keywords/>
  <dc:description/>
  <cp:lastModifiedBy>Raymond Tekin</cp:lastModifiedBy>
  <cp:revision>2</cp:revision>
  <cp:lastPrinted>2017-10-19T14:39:00Z</cp:lastPrinted>
  <dcterms:created xsi:type="dcterms:W3CDTF">2018-12-10T19:44:00Z</dcterms:created>
  <dcterms:modified xsi:type="dcterms:W3CDTF">2018-12-10T19:44:00Z</dcterms:modified>
</cp:coreProperties>
</file>